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738"/>
        <w:gridCol w:w="90"/>
        <w:gridCol w:w="2684"/>
        <w:gridCol w:w="16"/>
        <w:gridCol w:w="3466"/>
        <w:gridCol w:w="3482"/>
      </w:tblGrid>
      <w:tr w:rsidR="0070176B" w:rsidRPr="00276928" w:rsidTr="008B32C5">
        <w:trPr>
          <w:trHeight w:val="1094"/>
        </w:trPr>
        <w:tc>
          <w:tcPr>
            <w:tcW w:w="3512" w:type="dxa"/>
            <w:gridSpan w:val="3"/>
            <w:shd w:val="clear" w:color="auto" w:fill="E20000"/>
            <w:vAlign w:val="center"/>
          </w:tcPr>
          <w:p w:rsidR="0070176B" w:rsidRPr="007B3B7C" w:rsidRDefault="0070176B" w:rsidP="007B3B7C">
            <w:pPr>
              <w:jc w:val="center"/>
              <w:rPr>
                <w:b/>
                <w:color w:val="FFFFFF" w:themeColor="background1"/>
                <w:sz w:val="24"/>
                <w:szCs w:val="24"/>
              </w:rPr>
            </w:pPr>
            <w:r w:rsidRPr="007B3B7C">
              <w:rPr>
                <w:b/>
                <w:color w:val="FFFFFF" w:themeColor="background1"/>
                <w:sz w:val="24"/>
                <w:szCs w:val="24"/>
              </w:rPr>
              <w:t>BẢN TIN THUẾ</w:t>
            </w:r>
          </w:p>
          <w:p w:rsidR="0070176B" w:rsidRPr="007B3B7C" w:rsidRDefault="0070176B" w:rsidP="007B3B7C">
            <w:pPr>
              <w:jc w:val="center"/>
              <w:rPr>
                <w:b/>
                <w:color w:val="FFFFFF" w:themeColor="background1"/>
                <w:sz w:val="24"/>
                <w:szCs w:val="24"/>
              </w:rPr>
            </w:pPr>
            <w:r w:rsidRPr="007B3B7C">
              <w:rPr>
                <w:b/>
                <w:color w:val="FFFFFF" w:themeColor="background1"/>
                <w:sz w:val="24"/>
                <w:szCs w:val="24"/>
              </w:rPr>
              <w:t>Số</w:t>
            </w:r>
            <w:r w:rsidR="007E1553">
              <w:rPr>
                <w:b/>
                <w:color w:val="FFFFFF" w:themeColor="background1"/>
                <w:sz w:val="24"/>
                <w:szCs w:val="24"/>
              </w:rPr>
              <w:t xml:space="preserve"> 20</w:t>
            </w:r>
            <w:r w:rsidRPr="007B3B7C">
              <w:rPr>
                <w:b/>
                <w:color w:val="FFFFFF" w:themeColor="background1"/>
                <w:sz w:val="24"/>
                <w:szCs w:val="24"/>
              </w:rPr>
              <w:t>17</w:t>
            </w:r>
          </w:p>
          <w:p w:rsidR="0070176B" w:rsidRPr="007B3B7C" w:rsidRDefault="000E6BA1" w:rsidP="007B3B7C">
            <w:pPr>
              <w:jc w:val="center"/>
              <w:rPr>
                <w:b/>
                <w:color w:val="FFFFFF" w:themeColor="background1"/>
                <w:sz w:val="24"/>
                <w:szCs w:val="24"/>
              </w:rPr>
            </w:pPr>
            <w:r w:rsidRPr="007B3B7C">
              <w:rPr>
                <w:b/>
                <w:color w:val="FFFFFF" w:themeColor="background1"/>
                <w:sz w:val="24"/>
                <w:szCs w:val="24"/>
              </w:rPr>
              <w:t>(</w:t>
            </w:r>
            <w:r w:rsidR="007E1553">
              <w:rPr>
                <w:b/>
                <w:color w:val="FFFFFF" w:themeColor="background1"/>
                <w:sz w:val="24"/>
                <w:szCs w:val="24"/>
              </w:rPr>
              <w:t>22/05 -27/05</w:t>
            </w:r>
            <w:r w:rsidR="0070176B" w:rsidRPr="007B3B7C">
              <w:rPr>
                <w:b/>
                <w:color w:val="FFFFFF" w:themeColor="background1"/>
                <w:sz w:val="24"/>
                <w:szCs w:val="24"/>
              </w:rPr>
              <w:t>)</w:t>
            </w:r>
          </w:p>
        </w:tc>
        <w:tc>
          <w:tcPr>
            <w:tcW w:w="3482" w:type="dxa"/>
            <w:gridSpan w:val="2"/>
            <w:shd w:val="clear" w:color="auto" w:fill="E20000"/>
            <w:vAlign w:val="center"/>
          </w:tcPr>
          <w:p w:rsidR="0070176B" w:rsidRPr="007B3B7C" w:rsidRDefault="0070176B" w:rsidP="00276928">
            <w:pPr>
              <w:rPr>
                <w:b/>
                <w:color w:val="FFFFFF" w:themeColor="background1"/>
                <w:sz w:val="24"/>
                <w:szCs w:val="24"/>
              </w:rPr>
            </w:pPr>
            <w:r w:rsidRPr="007B3B7C">
              <w:rPr>
                <w:b/>
                <w:color w:val="FFFFFF" w:themeColor="background1"/>
                <w:sz w:val="24"/>
                <w:szCs w:val="24"/>
              </w:rPr>
              <w:t>Nội dung</w:t>
            </w:r>
          </w:p>
          <w:p w:rsidR="0070176B" w:rsidRPr="007B3B7C" w:rsidRDefault="0070176B" w:rsidP="00276928">
            <w:pPr>
              <w:rPr>
                <w:b/>
                <w:color w:val="FFFFFF" w:themeColor="background1"/>
                <w:sz w:val="24"/>
                <w:szCs w:val="24"/>
              </w:rPr>
            </w:pPr>
            <w:r w:rsidRPr="007B3B7C">
              <w:rPr>
                <w:b/>
                <w:color w:val="FFFFFF" w:themeColor="background1"/>
                <w:sz w:val="24"/>
                <w:szCs w:val="24"/>
              </w:rPr>
              <w:t>VĂN BẢN PHÁP LÝ VỀ THUẾ</w:t>
            </w:r>
          </w:p>
          <w:p w:rsidR="0070176B" w:rsidRPr="007B3B7C" w:rsidRDefault="0070176B" w:rsidP="00276928">
            <w:pPr>
              <w:rPr>
                <w:b/>
                <w:color w:val="FFFFFF" w:themeColor="background1"/>
                <w:sz w:val="24"/>
                <w:szCs w:val="24"/>
              </w:rPr>
            </w:pPr>
            <w:r w:rsidRPr="007B3B7C">
              <w:rPr>
                <w:b/>
                <w:color w:val="FFFFFF" w:themeColor="background1"/>
                <w:sz w:val="24"/>
                <w:szCs w:val="24"/>
              </w:rPr>
              <w:t>VẤN ĐỀ CẦN LƯU Ý</w:t>
            </w:r>
          </w:p>
        </w:tc>
        <w:tc>
          <w:tcPr>
            <w:tcW w:w="3482" w:type="dxa"/>
            <w:shd w:val="clear" w:color="auto" w:fill="E20000"/>
            <w:vAlign w:val="center"/>
          </w:tcPr>
          <w:p w:rsidR="0070176B" w:rsidRPr="007B3B7C" w:rsidRDefault="0070176B" w:rsidP="007B3B7C">
            <w:pPr>
              <w:jc w:val="right"/>
              <w:rPr>
                <w:b/>
                <w:color w:val="FFFFFF" w:themeColor="background1"/>
                <w:sz w:val="24"/>
                <w:szCs w:val="24"/>
              </w:rPr>
            </w:pPr>
            <w:r w:rsidRPr="007B3B7C">
              <w:rPr>
                <w:b/>
                <w:color w:val="FFFFFF" w:themeColor="background1"/>
                <w:sz w:val="24"/>
                <w:szCs w:val="24"/>
              </w:rPr>
              <w:t>Trang</w:t>
            </w:r>
          </w:p>
          <w:p w:rsidR="0070176B" w:rsidRPr="007B3B7C" w:rsidRDefault="0070176B" w:rsidP="007B3B7C">
            <w:pPr>
              <w:jc w:val="right"/>
              <w:rPr>
                <w:b/>
                <w:color w:val="FFFFFF" w:themeColor="background1"/>
                <w:sz w:val="24"/>
                <w:szCs w:val="24"/>
              </w:rPr>
            </w:pPr>
            <w:r w:rsidRPr="007B3B7C">
              <w:rPr>
                <w:b/>
                <w:color w:val="FFFFFF" w:themeColor="background1"/>
                <w:sz w:val="24"/>
                <w:szCs w:val="24"/>
              </w:rPr>
              <w:t>1</w:t>
            </w:r>
          </w:p>
          <w:p w:rsidR="0070176B" w:rsidRPr="007B3B7C" w:rsidRDefault="0070176B" w:rsidP="007B3B7C">
            <w:pPr>
              <w:jc w:val="right"/>
              <w:rPr>
                <w:b/>
                <w:color w:val="FFFFFF" w:themeColor="background1"/>
                <w:sz w:val="24"/>
                <w:szCs w:val="24"/>
              </w:rPr>
            </w:pPr>
            <w:r w:rsidRPr="007B3B7C">
              <w:rPr>
                <w:b/>
                <w:color w:val="FFFFFF" w:themeColor="background1"/>
                <w:sz w:val="24"/>
                <w:szCs w:val="24"/>
              </w:rPr>
              <w:t>2</w:t>
            </w:r>
          </w:p>
        </w:tc>
      </w:tr>
      <w:tr w:rsidR="0070176B" w:rsidRPr="00276928" w:rsidTr="008B32C5">
        <w:trPr>
          <w:trHeight w:val="701"/>
        </w:trPr>
        <w:tc>
          <w:tcPr>
            <w:tcW w:w="828" w:type="dxa"/>
            <w:gridSpan w:val="2"/>
          </w:tcPr>
          <w:p w:rsidR="0070176B" w:rsidRPr="007B3B7C" w:rsidRDefault="0070176B" w:rsidP="00276928">
            <w:pPr>
              <w:rPr>
                <w:b/>
                <w:color w:val="FFFFFF" w:themeColor="background1"/>
                <w:sz w:val="24"/>
                <w:szCs w:val="24"/>
              </w:rPr>
            </w:pPr>
            <w:r w:rsidRPr="007B3B7C">
              <w:rPr>
                <w:b/>
                <w:color w:val="FFFFFF" w:themeColor="background1"/>
                <w:sz w:val="24"/>
                <w:szCs w:val="24"/>
              </w:rPr>
              <w:drawing>
                <wp:inline distT="0" distB="0" distL="0" distR="0">
                  <wp:extent cx="459921" cy="413657"/>
                  <wp:effectExtent l="19050" t="0" r="0" b="0"/>
                  <wp:docPr id="2" name="Picture 1" descr="C:\Users\hp\Pictures\Th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Thue.png"/>
                          <pic:cNvPicPr>
                            <a:picLocks noChangeAspect="1" noChangeArrowheads="1"/>
                          </pic:cNvPicPr>
                        </pic:nvPicPr>
                        <pic:blipFill>
                          <a:blip r:embed="rId7" cstate="print"/>
                          <a:srcRect l="8649"/>
                          <a:stretch>
                            <a:fillRect/>
                          </a:stretch>
                        </pic:blipFill>
                        <pic:spPr bwMode="auto">
                          <a:xfrm>
                            <a:off x="0" y="0"/>
                            <a:ext cx="459921" cy="413657"/>
                          </a:xfrm>
                          <a:prstGeom prst="rect">
                            <a:avLst/>
                          </a:prstGeom>
                          <a:noFill/>
                          <a:ln w="9525">
                            <a:noFill/>
                            <a:miter lim="800000"/>
                            <a:headEnd/>
                            <a:tailEnd/>
                          </a:ln>
                        </pic:spPr>
                      </pic:pic>
                    </a:graphicData>
                  </a:graphic>
                </wp:inline>
              </w:drawing>
            </w:r>
          </w:p>
        </w:tc>
        <w:tc>
          <w:tcPr>
            <w:tcW w:w="9648" w:type="dxa"/>
            <w:gridSpan w:val="4"/>
            <w:shd w:val="clear" w:color="auto" w:fill="E20000"/>
            <w:vAlign w:val="center"/>
          </w:tcPr>
          <w:p w:rsidR="0070176B" w:rsidRPr="007B3B7C" w:rsidRDefault="0070176B" w:rsidP="007B3B7C">
            <w:pPr>
              <w:jc w:val="center"/>
              <w:rPr>
                <w:b/>
                <w:color w:val="FFFFFF" w:themeColor="background1"/>
                <w:sz w:val="24"/>
                <w:szCs w:val="24"/>
              </w:rPr>
            </w:pPr>
            <w:r w:rsidRPr="007B3B7C">
              <w:rPr>
                <w:b/>
                <w:color w:val="FFFFFF" w:themeColor="background1"/>
                <w:sz w:val="24"/>
                <w:szCs w:val="24"/>
              </w:rPr>
              <w:t>VĂN BẢN PHÁP LÝ VỀ THUẾ</w:t>
            </w:r>
          </w:p>
        </w:tc>
      </w:tr>
      <w:tr w:rsidR="0070176B" w:rsidRPr="00276928" w:rsidTr="008B32C5">
        <w:trPr>
          <w:trHeight w:val="701"/>
        </w:trPr>
        <w:tc>
          <w:tcPr>
            <w:tcW w:w="3512" w:type="dxa"/>
            <w:gridSpan w:val="3"/>
            <w:shd w:val="clear" w:color="auto" w:fill="92D050"/>
          </w:tcPr>
          <w:p w:rsidR="00FF4476" w:rsidRPr="007B3B7C" w:rsidRDefault="00276928" w:rsidP="00276928">
            <w:pPr>
              <w:rPr>
                <w:b/>
                <w:color w:val="FFFFFF" w:themeColor="background1"/>
                <w:sz w:val="24"/>
                <w:szCs w:val="24"/>
              </w:rPr>
            </w:pPr>
            <w:r w:rsidRPr="007B3B7C">
              <w:rPr>
                <w:b/>
                <w:color w:val="FFFFFF" w:themeColor="background1"/>
                <w:sz w:val="24"/>
                <w:szCs w:val="24"/>
              </w:rPr>
              <w:t>Công văn số 2131/TCT-CS</w:t>
            </w:r>
            <w:r w:rsidRPr="007B3B7C">
              <w:rPr>
                <w:b/>
                <w:color w:val="FFFFFF" w:themeColor="background1"/>
                <w:sz w:val="24"/>
                <w:szCs w:val="24"/>
              </w:rPr>
              <w:br/>
              <w:t>ngày 22 tháng 05 năm 2017</w:t>
            </w:r>
          </w:p>
          <w:p w:rsidR="00276928" w:rsidRPr="007B3B7C" w:rsidRDefault="00276928" w:rsidP="00276928">
            <w:pPr>
              <w:rPr>
                <w:b/>
                <w:color w:val="FFFFFF" w:themeColor="background1"/>
                <w:sz w:val="24"/>
                <w:szCs w:val="24"/>
              </w:rPr>
            </w:pPr>
            <w:r w:rsidRPr="007B3B7C">
              <w:rPr>
                <w:b/>
                <w:color w:val="FFFFFF" w:themeColor="background1"/>
                <w:sz w:val="24"/>
                <w:szCs w:val="24"/>
              </w:rPr>
              <w:t>Tổng cục thuế</w:t>
            </w:r>
          </w:p>
        </w:tc>
        <w:tc>
          <w:tcPr>
            <w:tcW w:w="6964" w:type="dxa"/>
            <w:gridSpan w:val="3"/>
            <w:shd w:val="clear" w:color="auto" w:fill="FFFFFF" w:themeFill="background1"/>
            <w:vAlign w:val="center"/>
          </w:tcPr>
          <w:p w:rsidR="0070176B" w:rsidRPr="00276928" w:rsidRDefault="00276928" w:rsidP="00276928">
            <w:pPr>
              <w:rPr>
                <w:sz w:val="24"/>
                <w:szCs w:val="24"/>
              </w:rPr>
            </w:pPr>
            <w:r w:rsidRPr="00276928">
              <w:rPr>
                <w:sz w:val="24"/>
                <w:szCs w:val="24"/>
              </w:rPr>
              <w:t>Về thuế giá trị gia tăng (GTGT) đối với dịch vụ môi giới vận tải biển quốc tế</w:t>
            </w:r>
          </w:p>
        </w:tc>
      </w:tr>
      <w:tr w:rsidR="0070176B" w:rsidRPr="00276928" w:rsidTr="008B32C5">
        <w:trPr>
          <w:trHeight w:val="701"/>
        </w:trPr>
        <w:tc>
          <w:tcPr>
            <w:tcW w:w="3512" w:type="dxa"/>
            <w:gridSpan w:val="3"/>
            <w:shd w:val="clear" w:color="auto" w:fill="92D050"/>
          </w:tcPr>
          <w:p w:rsidR="0070176B" w:rsidRPr="007B3B7C" w:rsidRDefault="00050083" w:rsidP="00276928">
            <w:pPr>
              <w:rPr>
                <w:b/>
                <w:color w:val="FFFFFF" w:themeColor="background1"/>
                <w:sz w:val="24"/>
                <w:szCs w:val="24"/>
              </w:rPr>
            </w:pPr>
            <w:r w:rsidRPr="007B3B7C">
              <w:rPr>
                <w:b/>
                <w:color w:val="FFFFFF" w:themeColor="background1"/>
                <w:sz w:val="24"/>
                <w:szCs w:val="24"/>
              </w:rPr>
              <w:t xml:space="preserve">Công văn số </w:t>
            </w:r>
            <w:r w:rsidR="00276928" w:rsidRPr="007B3B7C">
              <w:rPr>
                <w:b/>
                <w:color w:val="FFFFFF" w:themeColor="background1"/>
                <w:sz w:val="24"/>
                <w:szCs w:val="24"/>
              </w:rPr>
              <w:t>2137/TCT-CS</w:t>
            </w:r>
          </w:p>
          <w:p w:rsidR="00276928" w:rsidRPr="007B3B7C" w:rsidRDefault="00276928" w:rsidP="00276928">
            <w:pPr>
              <w:rPr>
                <w:b/>
                <w:color w:val="FFFFFF" w:themeColor="background1"/>
                <w:sz w:val="24"/>
                <w:szCs w:val="24"/>
              </w:rPr>
            </w:pPr>
            <w:r w:rsidRPr="007B3B7C">
              <w:rPr>
                <w:b/>
                <w:color w:val="FFFFFF" w:themeColor="background1"/>
                <w:sz w:val="24"/>
                <w:szCs w:val="24"/>
              </w:rPr>
              <w:t>ngày 22 tháng 05 năm 2017</w:t>
            </w:r>
          </w:p>
          <w:p w:rsidR="002010F5" w:rsidRPr="007B3B7C" w:rsidRDefault="002010F5" w:rsidP="00276928">
            <w:pPr>
              <w:rPr>
                <w:b/>
                <w:color w:val="FFFFFF" w:themeColor="background1"/>
                <w:sz w:val="24"/>
                <w:szCs w:val="24"/>
              </w:rPr>
            </w:pPr>
            <w:r w:rsidRPr="007B3B7C">
              <w:rPr>
                <w:b/>
                <w:color w:val="FFFFFF" w:themeColor="background1"/>
                <w:sz w:val="24"/>
                <w:szCs w:val="24"/>
              </w:rPr>
              <w:t>Tổng cục thuế</w:t>
            </w:r>
          </w:p>
        </w:tc>
        <w:tc>
          <w:tcPr>
            <w:tcW w:w="6964" w:type="dxa"/>
            <w:gridSpan w:val="3"/>
            <w:shd w:val="clear" w:color="auto" w:fill="FFFFFF" w:themeFill="background1"/>
            <w:vAlign w:val="center"/>
          </w:tcPr>
          <w:p w:rsidR="0070176B" w:rsidRPr="00276928" w:rsidRDefault="00276928" w:rsidP="00276928">
            <w:pPr>
              <w:rPr>
                <w:sz w:val="24"/>
                <w:szCs w:val="24"/>
              </w:rPr>
            </w:pPr>
            <w:r w:rsidRPr="00276928">
              <w:rPr>
                <w:sz w:val="24"/>
                <w:szCs w:val="24"/>
              </w:rPr>
              <w:t>Về thuế suất thuế giá trị gia tăng (GTGT) đối với dịch vụ kiểm tra, giám định gắn với hàng hóa xuất khẩu</w:t>
            </w:r>
          </w:p>
        </w:tc>
      </w:tr>
      <w:tr w:rsidR="0070176B" w:rsidRPr="00276928" w:rsidTr="008B32C5">
        <w:trPr>
          <w:trHeight w:val="701"/>
        </w:trPr>
        <w:tc>
          <w:tcPr>
            <w:tcW w:w="3512" w:type="dxa"/>
            <w:gridSpan w:val="3"/>
            <w:shd w:val="clear" w:color="auto" w:fill="92D050"/>
          </w:tcPr>
          <w:p w:rsidR="001A34C5" w:rsidRPr="007B3B7C" w:rsidRDefault="001A34C5" w:rsidP="00276928">
            <w:pPr>
              <w:rPr>
                <w:b/>
                <w:color w:val="FFFFFF" w:themeColor="background1"/>
                <w:sz w:val="24"/>
                <w:szCs w:val="24"/>
              </w:rPr>
            </w:pPr>
            <w:r w:rsidRPr="007B3B7C">
              <w:rPr>
                <w:b/>
                <w:color w:val="FFFFFF" w:themeColor="background1"/>
                <w:sz w:val="24"/>
                <w:szCs w:val="24"/>
              </w:rPr>
              <w:t xml:space="preserve">Công văn số </w:t>
            </w:r>
            <w:r w:rsidR="00276928" w:rsidRPr="007B3B7C">
              <w:rPr>
                <w:b/>
                <w:color w:val="FFFFFF" w:themeColor="background1"/>
                <w:sz w:val="24"/>
                <w:szCs w:val="24"/>
              </w:rPr>
              <w:t>2136/TCT-CS</w:t>
            </w:r>
          </w:p>
          <w:p w:rsidR="0070176B" w:rsidRPr="007B3B7C" w:rsidRDefault="00276928" w:rsidP="00276928">
            <w:pPr>
              <w:rPr>
                <w:b/>
                <w:color w:val="FFFFFF" w:themeColor="background1"/>
                <w:sz w:val="24"/>
                <w:szCs w:val="24"/>
              </w:rPr>
            </w:pPr>
            <w:r w:rsidRPr="007B3B7C">
              <w:rPr>
                <w:b/>
                <w:color w:val="FFFFFF" w:themeColor="background1"/>
                <w:sz w:val="24"/>
                <w:szCs w:val="24"/>
              </w:rPr>
              <w:t>ngày 22</w:t>
            </w:r>
            <w:r w:rsidR="001A34C5" w:rsidRPr="007B3B7C">
              <w:rPr>
                <w:b/>
                <w:color w:val="FFFFFF" w:themeColor="background1"/>
                <w:sz w:val="24"/>
                <w:szCs w:val="24"/>
              </w:rPr>
              <w:t> tháng 04 năm 2017</w:t>
            </w:r>
          </w:p>
          <w:p w:rsidR="001A34C5" w:rsidRPr="007B3B7C" w:rsidRDefault="001A34C5" w:rsidP="00276928">
            <w:pPr>
              <w:rPr>
                <w:b/>
                <w:color w:val="FFFFFF" w:themeColor="background1"/>
                <w:sz w:val="24"/>
                <w:szCs w:val="24"/>
              </w:rPr>
            </w:pPr>
            <w:r w:rsidRPr="007B3B7C">
              <w:rPr>
                <w:b/>
                <w:color w:val="FFFFFF" w:themeColor="background1"/>
                <w:sz w:val="24"/>
                <w:szCs w:val="24"/>
              </w:rPr>
              <w:t>Tổng cục thuế</w:t>
            </w:r>
          </w:p>
        </w:tc>
        <w:tc>
          <w:tcPr>
            <w:tcW w:w="6964" w:type="dxa"/>
            <w:gridSpan w:val="3"/>
            <w:shd w:val="clear" w:color="auto" w:fill="FFFFFF" w:themeFill="background1"/>
            <w:vAlign w:val="center"/>
          </w:tcPr>
          <w:p w:rsidR="0070176B" w:rsidRPr="00276928" w:rsidRDefault="00276928" w:rsidP="00276928">
            <w:pPr>
              <w:rPr>
                <w:sz w:val="24"/>
                <w:szCs w:val="24"/>
              </w:rPr>
            </w:pPr>
            <w:r w:rsidRPr="00276928">
              <w:rPr>
                <w:sz w:val="24"/>
                <w:szCs w:val="24"/>
              </w:rPr>
              <w:t>Về thuế suất thuế giá trị gia tăng (GTGT) đối với dịch vụ cung cấp cho tổ chức nước ngoài gắn với hàng hóa xuất khẩu</w:t>
            </w:r>
          </w:p>
        </w:tc>
      </w:tr>
      <w:tr w:rsidR="0070176B" w:rsidRPr="00276928" w:rsidTr="008B32C5">
        <w:trPr>
          <w:trHeight w:val="701"/>
        </w:trPr>
        <w:tc>
          <w:tcPr>
            <w:tcW w:w="3512" w:type="dxa"/>
            <w:gridSpan w:val="3"/>
            <w:shd w:val="clear" w:color="auto" w:fill="92D050"/>
          </w:tcPr>
          <w:p w:rsidR="00276928" w:rsidRPr="007B3B7C" w:rsidRDefault="00790092" w:rsidP="00276928">
            <w:pPr>
              <w:rPr>
                <w:b/>
                <w:color w:val="FFFFFF" w:themeColor="background1"/>
                <w:sz w:val="24"/>
                <w:szCs w:val="24"/>
              </w:rPr>
            </w:pPr>
            <w:r w:rsidRPr="007B3B7C">
              <w:rPr>
                <w:b/>
                <w:color w:val="FFFFFF" w:themeColor="background1"/>
                <w:sz w:val="24"/>
                <w:szCs w:val="24"/>
              </w:rPr>
              <w:t>Công văn số</w:t>
            </w:r>
            <w:r w:rsidR="00276928" w:rsidRPr="007B3B7C">
              <w:rPr>
                <w:b/>
                <w:color w:val="FFFFFF" w:themeColor="background1"/>
                <w:sz w:val="24"/>
                <w:szCs w:val="24"/>
              </w:rPr>
              <w:t xml:space="preserve"> 2126/TCT-CS</w:t>
            </w:r>
            <w:r w:rsidR="00276928" w:rsidRPr="007B3B7C">
              <w:rPr>
                <w:b/>
                <w:color w:val="FFFFFF" w:themeColor="background1"/>
                <w:sz w:val="24"/>
                <w:szCs w:val="24"/>
              </w:rPr>
              <w:br/>
              <w:t>ngày 22 tháng 04 năm 2017</w:t>
            </w:r>
          </w:p>
          <w:p w:rsidR="00790092" w:rsidRPr="007B3B7C" w:rsidRDefault="00276928" w:rsidP="00276928">
            <w:pPr>
              <w:rPr>
                <w:b/>
                <w:color w:val="FFFFFF" w:themeColor="background1"/>
                <w:sz w:val="24"/>
                <w:szCs w:val="24"/>
              </w:rPr>
            </w:pPr>
            <w:r w:rsidRPr="007B3B7C">
              <w:rPr>
                <w:b/>
                <w:color w:val="FFFFFF" w:themeColor="background1"/>
                <w:sz w:val="24"/>
                <w:szCs w:val="24"/>
              </w:rPr>
              <w:t>Tổng cục thuế</w:t>
            </w:r>
          </w:p>
        </w:tc>
        <w:tc>
          <w:tcPr>
            <w:tcW w:w="6964" w:type="dxa"/>
            <w:gridSpan w:val="3"/>
            <w:shd w:val="clear" w:color="auto" w:fill="FFFFFF" w:themeFill="background1"/>
            <w:vAlign w:val="center"/>
          </w:tcPr>
          <w:p w:rsidR="0070176B" w:rsidRPr="00276928" w:rsidRDefault="00276928" w:rsidP="00276928">
            <w:pPr>
              <w:rPr>
                <w:sz w:val="24"/>
                <w:szCs w:val="24"/>
              </w:rPr>
            </w:pPr>
            <w:r w:rsidRPr="00276928">
              <w:rPr>
                <w:sz w:val="24"/>
                <w:szCs w:val="24"/>
              </w:rPr>
              <w:t>Về việc hoàn thuế GTGT đối với xuất khẩu phân bón được sản xuất từ tài nguyên, khoáng sản.</w:t>
            </w:r>
          </w:p>
        </w:tc>
      </w:tr>
      <w:tr w:rsidR="00E47484" w:rsidRPr="00276928" w:rsidTr="00CB270F">
        <w:trPr>
          <w:trHeight w:val="701"/>
        </w:trPr>
        <w:tc>
          <w:tcPr>
            <w:tcW w:w="738" w:type="dxa"/>
            <w:shd w:val="clear" w:color="auto" w:fill="FFFFFF" w:themeFill="background1"/>
          </w:tcPr>
          <w:p w:rsidR="00E47484" w:rsidRPr="00276928" w:rsidRDefault="007B3B7C" w:rsidP="00276928">
            <w:pPr>
              <w:rPr>
                <w:sz w:val="24"/>
                <w:szCs w:val="24"/>
              </w:rPr>
            </w:pPr>
            <w:r>
              <w:rPr>
                <w:noProof/>
                <w:sz w:val="24"/>
                <w:szCs w:val="24"/>
              </w:rPr>
              <w:drawing>
                <wp:anchor distT="0" distB="0" distL="114300" distR="114300" simplePos="0" relativeHeight="251659264" behindDoc="0" locked="0" layoutInCell="0" allowOverlap="1">
                  <wp:simplePos x="0" y="0"/>
                  <wp:positionH relativeFrom="page">
                    <wp:posOffset>556895</wp:posOffset>
                  </wp:positionH>
                  <wp:positionV relativeFrom="page">
                    <wp:posOffset>4822825</wp:posOffset>
                  </wp:positionV>
                  <wp:extent cx="464820" cy="44767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r="85963"/>
                          <a:stretch>
                            <a:fillRect/>
                          </a:stretch>
                        </pic:blipFill>
                        <pic:spPr bwMode="auto">
                          <a:xfrm>
                            <a:off x="0" y="0"/>
                            <a:ext cx="464820" cy="447675"/>
                          </a:xfrm>
                          <a:prstGeom prst="rect">
                            <a:avLst/>
                          </a:prstGeom>
                          <a:noFill/>
                        </pic:spPr>
                      </pic:pic>
                    </a:graphicData>
                  </a:graphic>
                </wp:anchor>
              </w:drawing>
            </w:r>
          </w:p>
        </w:tc>
        <w:tc>
          <w:tcPr>
            <w:tcW w:w="9738" w:type="dxa"/>
            <w:gridSpan w:val="5"/>
            <w:shd w:val="clear" w:color="auto" w:fill="E20000"/>
            <w:vAlign w:val="center"/>
          </w:tcPr>
          <w:p w:rsidR="00E47484" w:rsidRPr="007B3B7C" w:rsidRDefault="00CC5D61" w:rsidP="007B3B7C">
            <w:pPr>
              <w:jc w:val="center"/>
              <w:rPr>
                <w:b/>
                <w:color w:val="FFFFFF" w:themeColor="background1"/>
                <w:sz w:val="24"/>
                <w:szCs w:val="24"/>
              </w:rPr>
            </w:pPr>
            <w:r w:rsidRPr="007B3B7C">
              <w:rPr>
                <w:b/>
                <w:color w:val="FFFFFF" w:themeColor="background1"/>
                <w:sz w:val="24"/>
                <w:szCs w:val="24"/>
              </w:rPr>
              <w:t>VẤN ĐỀ CẦN LƯU Ý</w:t>
            </w:r>
          </w:p>
        </w:tc>
      </w:tr>
      <w:tr w:rsidR="00CC5D61" w:rsidRPr="00276928" w:rsidTr="008B32C5">
        <w:trPr>
          <w:trHeight w:val="701"/>
        </w:trPr>
        <w:tc>
          <w:tcPr>
            <w:tcW w:w="3528" w:type="dxa"/>
            <w:gridSpan w:val="4"/>
            <w:shd w:val="clear" w:color="auto" w:fill="92D050"/>
          </w:tcPr>
          <w:p w:rsidR="00276928" w:rsidRPr="00276928" w:rsidRDefault="00276928" w:rsidP="007B3B7C">
            <w:pPr>
              <w:jc w:val="center"/>
              <w:rPr>
                <w:sz w:val="24"/>
                <w:szCs w:val="24"/>
              </w:rPr>
            </w:pPr>
            <w:r w:rsidRPr="00276928">
              <w:rPr>
                <w:sz w:val="24"/>
                <w:szCs w:val="24"/>
              </w:rPr>
              <w:t>Công văn  2126/TCT-CS</w:t>
            </w:r>
          </w:p>
          <w:p w:rsidR="00CC5D61" w:rsidRPr="00276928" w:rsidRDefault="00276928" w:rsidP="007B3B7C">
            <w:pPr>
              <w:jc w:val="center"/>
              <w:rPr>
                <w:sz w:val="24"/>
                <w:szCs w:val="24"/>
              </w:rPr>
            </w:pPr>
            <w:r w:rsidRPr="00276928">
              <w:rPr>
                <w:sz w:val="24"/>
                <w:szCs w:val="24"/>
              </w:rPr>
              <w:t>ngày 22/05/2017</w:t>
            </w:r>
          </w:p>
          <w:p w:rsidR="00276928" w:rsidRPr="00276928" w:rsidRDefault="00276928" w:rsidP="007B3B7C">
            <w:pPr>
              <w:jc w:val="center"/>
              <w:rPr>
                <w:sz w:val="24"/>
                <w:szCs w:val="24"/>
              </w:rPr>
            </w:pPr>
            <w:r w:rsidRPr="00276928">
              <w:rPr>
                <w:sz w:val="24"/>
                <w:szCs w:val="24"/>
              </w:rPr>
              <w:t>Hướng dẫn về việc hoàn thuế GTGT đối với xuất khẩu phân bón được sản xuất từ tài nguyên, khoáng sản.</w:t>
            </w:r>
          </w:p>
        </w:tc>
        <w:tc>
          <w:tcPr>
            <w:tcW w:w="6948" w:type="dxa"/>
            <w:gridSpan w:val="2"/>
            <w:shd w:val="clear" w:color="auto" w:fill="FFFFFF" w:themeFill="background1"/>
            <w:vAlign w:val="center"/>
          </w:tcPr>
          <w:p w:rsidR="00276928" w:rsidRPr="00276928" w:rsidRDefault="00276928" w:rsidP="007B3B7C">
            <w:pPr>
              <w:ind w:firstLine="522"/>
              <w:jc w:val="both"/>
              <w:rPr>
                <w:sz w:val="24"/>
                <w:szCs w:val="24"/>
              </w:rPr>
            </w:pPr>
            <w:r w:rsidRPr="00276928">
              <w:rPr>
                <w:sz w:val="24"/>
                <w:szCs w:val="24"/>
              </w:rPr>
              <w:t>Theo đó, Công ty xuất khẩu mặt hàng phân bón được sản xuất từ tài nguyên, khoáng sản thì phải xác định trị giá tài nguyên, khoáng sản cộng với chi phí năng lượng trên giá thành sản xuất mặt hàng phân bón xuất khẩu nêu trên để áp dụng chính sách thuế GTGT phù hợp. Việc xác định tỷ trọng trị giá tài nguyên, khoáng sản và chi phí năng lượng trên giá thành do doanh nghiệp tự xác định và tự chịu trách nhiệm.</w:t>
            </w:r>
          </w:p>
          <w:p w:rsidR="00276928" w:rsidRPr="00276928" w:rsidRDefault="00276928" w:rsidP="007B3B7C">
            <w:pPr>
              <w:ind w:firstLine="522"/>
              <w:jc w:val="both"/>
              <w:rPr>
                <w:sz w:val="24"/>
                <w:szCs w:val="24"/>
              </w:rPr>
            </w:pPr>
            <w:r w:rsidRPr="00276928">
              <w:rPr>
                <w:sz w:val="24"/>
                <w:szCs w:val="24"/>
              </w:rPr>
              <w:t>(i) Nếu sản phẩm, xuất khẩu là hàng hóa được sản xuất từ tài nguyên, khoáng sản có tổng trị giá tổng trị giá tài nguyên, khoáng sản cộng với chi phí năng lượng chiếm từ 51% giá thành sản xuất sản phẩm trở lên thì thuộc đối tượng không chịu thuế GTGT, doanh nghiệp không được khấu trừ và hoàn thuế GTGT đầu vào của hàng hóa nêu trên.</w:t>
            </w:r>
          </w:p>
          <w:p w:rsidR="00276928" w:rsidRPr="00276928" w:rsidRDefault="00276928" w:rsidP="007B3B7C">
            <w:pPr>
              <w:ind w:firstLine="522"/>
              <w:jc w:val="both"/>
              <w:rPr>
                <w:sz w:val="24"/>
                <w:szCs w:val="24"/>
              </w:rPr>
            </w:pPr>
            <w:r w:rsidRPr="00276928">
              <w:rPr>
                <w:sz w:val="24"/>
                <w:szCs w:val="24"/>
              </w:rPr>
              <w:t>(ii) Nếu sản phẩm xuất khẩu là hàng hóa được sản xuất từ tài nguyên, khoáng sản có tổng trị giá tổng trị giá tài nguyên, khoáng sản cộng với chi phí năng lượng dưới 51% giá thành sản xuất sản phẩm thì được áp dụng thuế suất 0%, doanh nghiệp được khấu trừ và hoàn thuế GTGT theo quy định.</w:t>
            </w:r>
          </w:p>
        </w:tc>
      </w:tr>
    </w:tbl>
    <w:p w:rsidR="00575D85" w:rsidRPr="00276928" w:rsidRDefault="00575D85" w:rsidP="00276928">
      <w:pPr>
        <w:rPr>
          <w:sz w:val="24"/>
          <w:szCs w:val="24"/>
        </w:rPr>
      </w:pPr>
    </w:p>
    <w:sectPr w:rsidR="00575D85" w:rsidRPr="00276928" w:rsidSect="0070176B">
      <w:headerReference w:type="even" r:id="rId9"/>
      <w:headerReference w:type="default" r:id="rId10"/>
      <w:footerReference w:type="default" r:id="rId11"/>
      <w:headerReference w:type="first" r:id="rId12"/>
      <w:pgSz w:w="12240" w:h="15840"/>
      <w:pgMar w:top="1440" w:right="99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6EA" w:rsidRDefault="008576EA" w:rsidP="0070176B">
      <w:pPr>
        <w:spacing w:after="0" w:line="240" w:lineRule="auto"/>
      </w:pPr>
      <w:r>
        <w:separator/>
      </w:r>
    </w:p>
  </w:endnote>
  <w:endnote w:type="continuationSeparator" w:id="0">
    <w:p w:rsidR="008576EA" w:rsidRDefault="008576EA" w:rsidP="00701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FB" w:rsidRPr="00120C48" w:rsidRDefault="003076FB" w:rsidP="00120C48">
    <w:pPr>
      <w:pStyle w:val="Footer"/>
      <w:snapToGrid w:val="0"/>
      <w:jc w:val="both"/>
      <w:rPr>
        <w:sz w:val="18"/>
      </w:rPr>
    </w:pPr>
    <w:r w:rsidRPr="00120C48">
      <w:rPr>
        <w:sz w:val="18"/>
      </w:rPr>
      <w:t xml:space="preserve">Bản tin này do Công ty cổ phần Tài Việt cung cấp và chỉ nhằm mục đích tham khảo. Bản tin được xây dựng dựa trên những nguồn thông tin đáng tin cậy mà Tài Việt thu thập được. Tài Việt không chịu trách nhiệm với bất kì tổn thất hay thiệt hại nào liên quan đến việc sử dụng những thông tin được cung cấp từ bản tin này. Để biết thêm chi tiết, Quý độc giả vui lòng liên hệ đường dây tư vấn số </w:t>
    </w:r>
    <w:r w:rsidRPr="00120C48">
      <w:rPr>
        <w:rFonts w:ascii="MS Mincho" w:eastAsia="MS Mincho" w:hAnsi="MS Mincho" w:cs="MS Mincho" w:hint="eastAsia"/>
        <w:noProof/>
        <w:sz w:val="18"/>
      </w:rPr>
      <w:drawing>
        <wp:inline distT="0" distB="0" distL="0" distR="0">
          <wp:extent cx="228600" cy="149844"/>
          <wp:effectExtent l="0" t="0" r="0" b="0"/>
          <wp:docPr id="8" name="Picture 1" descr="C:\Users\hp\AppData\Local\Microsoft\Windows\Temporary Internet Files\Content.IE5\0KRFGCU1\1280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IE5\0KRFGCU1\1280px-Black_telephone_icon_from_DejaVu_Sans.svg[1].png"/>
                  <pic:cNvPicPr>
                    <a:picLocks noChangeAspect="1" noChangeArrowheads="1"/>
                  </pic:cNvPicPr>
                </pic:nvPicPr>
                <pic:blipFill>
                  <a:blip r:embed="rId1" cstate="print"/>
                  <a:srcRect/>
                  <a:stretch>
                    <a:fillRect/>
                  </a:stretch>
                </pic:blipFill>
                <pic:spPr bwMode="auto">
                  <a:xfrm flipH="1">
                    <a:off x="0" y="0"/>
                    <a:ext cx="232508" cy="152406"/>
                  </a:xfrm>
                  <a:prstGeom prst="rect">
                    <a:avLst/>
                  </a:prstGeom>
                  <a:noFill/>
                  <a:ln w="9525">
                    <a:noFill/>
                    <a:miter lim="800000"/>
                    <a:headEnd/>
                    <a:tailEnd/>
                  </a:ln>
                </pic:spPr>
              </pic:pic>
            </a:graphicData>
          </a:graphic>
        </wp:inline>
      </w:drawing>
    </w:r>
    <w:r>
      <w:rPr>
        <w:sz w:val="18"/>
      </w:rPr>
      <w:t xml:space="preserve"> 0225 3</w:t>
    </w:r>
    <w:r w:rsidRPr="00120C48">
      <w:rPr>
        <w:sz w:val="18"/>
      </w:rPr>
      <w:t>250 250 hoặc infotaiviet@gmail.com.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6EA" w:rsidRDefault="008576EA" w:rsidP="0070176B">
      <w:pPr>
        <w:spacing w:after="0" w:line="240" w:lineRule="auto"/>
      </w:pPr>
      <w:r>
        <w:separator/>
      </w:r>
    </w:p>
  </w:footnote>
  <w:footnote w:type="continuationSeparator" w:id="0">
    <w:p w:rsidR="008576EA" w:rsidRDefault="008576EA" w:rsidP="007017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FB" w:rsidRDefault="00BA04D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1774" o:spid="_x0000_s8195" type="#_x0000_t136" style="position:absolute;margin-left:0;margin-top:0;width:568.25pt;height:154.95pt;rotation:315;z-index:-251653120;mso-position-horizontal:center;mso-position-horizontal-relative:margin;mso-position-vertical:center;mso-position-vertical-relative:margin" o:allowincell="f" fillcolor="silver" stroked="f">
          <v:textpath style="font-family:&quot;Consolas&quot;;font-size:1pt" string="TAIVIET.NET"/>
          <w10:wrap anchorx="margin" anchory="margin"/>
        </v:shape>
      </w:pict>
    </w:r>
  </w:p>
  <w:p w:rsidR="003076FB" w:rsidRDefault="003076F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FB" w:rsidRDefault="00BA04DF" w:rsidP="0070176B">
    <w:pPr>
      <w:pStyle w:val="Header"/>
      <w:rPr>
        <w:rFonts w:ascii="Arial Black" w:hAnsi="Arial Black"/>
        <w:b/>
        <w:i/>
        <w:color w:val="FF0000"/>
      </w:rPr>
    </w:pPr>
    <w:bookmarkStart w:id="0" w:name="page1"/>
    <w:bookmarkEnd w:id="0"/>
    <w:r w:rsidRPr="00BA04D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1775" o:spid="_x0000_s8196" type="#_x0000_t136" style="position:absolute;margin-left:0;margin-top:0;width:568.25pt;height:154.95pt;rotation:315;z-index:-251651072;mso-position-horizontal:center;mso-position-horizontal-relative:margin;mso-position-vertical:center;mso-position-vertical-relative:margin" o:allowincell="f" fillcolor="silver" stroked="f">
          <v:textpath style="font-family:&quot;Consolas&quot;;font-size:1pt" string="TAIVIET.NET"/>
          <w10:wrap anchorx="margin" anchory="margin"/>
        </v:shape>
      </w:pict>
    </w:r>
  </w:p>
  <w:p w:rsidR="003076FB" w:rsidRDefault="003076FB" w:rsidP="0070176B">
    <w:pPr>
      <w:pStyle w:val="Header"/>
      <w:rPr>
        <w:rFonts w:ascii="Arial Black" w:hAnsi="Arial Black"/>
        <w:b/>
        <w:i/>
        <w:color w:val="FF0000"/>
      </w:rPr>
    </w:pPr>
  </w:p>
  <w:p w:rsidR="003076FB" w:rsidRDefault="003076FB" w:rsidP="0070176B">
    <w:pPr>
      <w:pStyle w:val="Header"/>
      <w:rPr>
        <w:rFonts w:ascii="Arial Black" w:hAnsi="Arial Black"/>
        <w:b/>
        <w:i/>
        <w:color w:val="FF0000"/>
      </w:rPr>
    </w:pPr>
  </w:p>
  <w:p w:rsidR="003076FB" w:rsidRDefault="003076FB" w:rsidP="0070176B">
    <w:pPr>
      <w:pStyle w:val="Header"/>
      <w:jc w:val="right"/>
      <w:rPr>
        <w:rFonts w:ascii="Arial Black" w:hAnsi="Arial Black"/>
        <w:b/>
        <w:i/>
        <w:color w:val="FF0000"/>
      </w:rPr>
    </w:pPr>
    <w:r w:rsidRPr="0070176B">
      <w:rPr>
        <w:noProof/>
      </w:rPr>
      <w:drawing>
        <wp:anchor distT="0" distB="0" distL="114300" distR="114300" simplePos="0" relativeHeight="251659264" behindDoc="0" locked="0" layoutInCell="0" allowOverlap="1">
          <wp:simplePos x="0" y="0"/>
          <wp:positionH relativeFrom="page">
            <wp:posOffset>1045029</wp:posOffset>
          </wp:positionH>
          <wp:positionV relativeFrom="page">
            <wp:posOffset>446314</wp:posOffset>
          </wp:positionV>
          <wp:extent cx="5791200" cy="80554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extLst>
                  </a:blip>
                  <a:srcRect/>
                  <a:stretch>
                    <a:fillRect/>
                  </a:stretch>
                </pic:blipFill>
                <pic:spPr bwMode="auto">
                  <a:xfrm>
                    <a:off x="0" y="0"/>
                    <a:ext cx="5794375" cy="810895"/>
                  </a:xfrm>
                  <a:prstGeom prst="rect">
                    <a:avLst/>
                  </a:prstGeom>
                  <a:noFill/>
                </pic:spPr>
              </pic:pic>
            </a:graphicData>
          </a:graphic>
        </wp:anchor>
      </w:drawing>
    </w:r>
    <w:r w:rsidRPr="0070176B">
      <w:rPr>
        <w:rFonts w:ascii="Arial Black" w:hAnsi="Arial Black"/>
        <w:b/>
        <w:i/>
        <w:color w:val="FF0000"/>
      </w:rPr>
      <w:t>YOU’RE SMOOTH, YOU’RE SAVING</w:t>
    </w:r>
  </w:p>
  <w:p w:rsidR="003076FB" w:rsidRPr="0070176B" w:rsidRDefault="003076FB" w:rsidP="0070176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FB" w:rsidRDefault="00BA04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1773" o:spid="_x0000_s8194" type="#_x0000_t136" style="position:absolute;margin-left:0;margin-top:0;width:568.25pt;height:154.95pt;rotation:315;z-index:-251655168;mso-position-horizontal:center;mso-position-horizontal-relative:margin;mso-position-vertical:center;mso-position-vertical-relative:margin" o:allowincell="f" fillcolor="silver" stroked="f">
          <v:textpath style="font-family:&quot;Consolas&quot;;font-size:1pt" string="TAIVIET.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characterSpacingControl w:val="doNotCompress"/>
  <w:hdrShapeDefaults>
    <o:shapedefaults v:ext="edit" spidmax="15362"/>
    <o:shapelayout v:ext="edit">
      <o:idmap v:ext="edit" data="8"/>
    </o:shapelayout>
  </w:hdrShapeDefaults>
  <w:footnotePr>
    <w:footnote w:id="-1"/>
    <w:footnote w:id="0"/>
  </w:footnotePr>
  <w:endnotePr>
    <w:endnote w:id="-1"/>
    <w:endnote w:id="0"/>
  </w:endnotePr>
  <w:compat>
    <w:useFELayout/>
  </w:compat>
  <w:rsids>
    <w:rsidRoot w:val="0070176B"/>
    <w:rsid w:val="00050083"/>
    <w:rsid w:val="00062AE1"/>
    <w:rsid w:val="00090FAD"/>
    <w:rsid w:val="000E6BA1"/>
    <w:rsid w:val="001037B8"/>
    <w:rsid w:val="00120C48"/>
    <w:rsid w:val="00174E39"/>
    <w:rsid w:val="001A34C5"/>
    <w:rsid w:val="002010F5"/>
    <w:rsid w:val="00223E14"/>
    <w:rsid w:val="00276928"/>
    <w:rsid w:val="003076FB"/>
    <w:rsid w:val="0031208C"/>
    <w:rsid w:val="00313EC8"/>
    <w:rsid w:val="003A443F"/>
    <w:rsid w:val="00444B56"/>
    <w:rsid w:val="00560E47"/>
    <w:rsid w:val="00575D85"/>
    <w:rsid w:val="005D4029"/>
    <w:rsid w:val="00686360"/>
    <w:rsid w:val="0070176B"/>
    <w:rsid w:val="00790092"/>
    <w:rsid w:val="007A56AC"/>
    <w:rsid w:val="007B3B7C"/>
    <w:rsid w:val="007C1B52"/>
    <w:rsid w:val="007E1553"/>
    <w:rsid w:val="008576EA"/>
    <w:rsid w:val="008B32C5"/>
    <w:rsid w:val="008B46C9"/>
    <w:rsid w:val="00953FCF"/>
    <w:rsid w:val="00966446"/>
    <w:rsid w:val="00AD71CB"/>
    <w:rsid w:val="00BA04DF"/>
    <w:rsid w:val="00BA465D"/>
    <w:rsid w:val="00C71D0F"/>
    <w:rsid w:val="00C84366"/>
    <w:rsid w:val="00CB270F"/>
    <w:rsid w:val="00CC5D61"/>
    <w:rsid w:val="00D05FE3"/>
    <w:rsid w:val="00D23832"/>
    <w:rsid w:val="00D9133C"/>
    <w:rsid w:val="00DE0F07"/>
    <w:rsid w:val="00E47484"/>
    <w:rsid w:val="00F937A5"/>
    <w:rsid w:val="00FF44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6B"/>
  </w:style>
  <w:style w:type="paragraph" w:styleId="Footer">
    <w:name w:val="footer"/>
    <w:basedOn w:val="Normal"/>
    <w:link w:val="FooterChar"/>
    <w:uiPriority w:val="99"/>
    <w:semiHidden/>
    <w:unhideWhenUsed/>
    <w:rsid w:val="007017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176B"/>
  </w:style>
  <w:style w:type="paragraph" w:styleId="BalloonText">
    <w:name w:val="Balloon Text"/>
    <w:basedOn w:val="Normal"/>
    <w:link w:val="BalloonTextChar"/>
    <w:uiPriority w:val="99"/>
    <w:semiHidden/>
    <w:unhideWhenUsed/>
    <w:rsid w:val="0070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6B"/>
    <w:rPr>
      <w:rFonts w:ascii="Tahoma" w:hAnsi="Tahoma" w:cs="Tahoma"/>
      <w:sz w:val="16"/>
      <w:szCs w:val="16"/>
    </w:rPr>
  </w:style>
  <w:style w:type="table" w:styleId="TableGrid">
    <w:name w:val="Table Grid"/>
    <w:basedOn w:val="TableNormal"/>
    <w:uiPriority w:val="59"/>
    <w:rsid w:val="00701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4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4476"/>
  </w:style>
  <w:style w:type="character" w:styleId="Hyperlink">
    <w:name w:val="Hyperlink"/>
    <w:basedOn w:val="DefaultParagraphFont"/>
    <w:uiPriority w:val="99"/>
    <w:unhideWhenUsed/>
    <w:rsid w:val="00FF4476"/>
    <w:rPr>
      <w:color w:val="0000FF"/>
      <w:u w:val="single"/>
    </w:rPr>
  </w:style>
  <w:style w:type="character" w:styleId="Strong">
    <w:name w:val="Strong"/>
    <w:basedOn w:val="DefaultParagraphFont"/>
    <w:uiPriority w:val="22"/>
    <w:qFormat/>
    <w:rsid w:val="00276928"/>
    <w:rPr>
      <w:b/>
      <w:bCs/>
    </w:rPr>
  </w:style>
</w:styles>
</file>

<file path=word/webSettings.xml><?xml version="1.0" encoding="utf-8"?>
<w:webSettings xmlns:r="http://schemas.openxmlformats.org/officeDocument/2006/relationships" xmlns:w="http://schemas.openxmlformats.org/wordprocessingml/2006/main">
  <w:divs>
    <w:div w:id="36244729">
      <w:bodyDiv w:val="1"/>
      <w:marLeft w:val="0"/>
      <w:marRight w:val="0"/>
      <w:marTop w:val="0"/>
      <w:marBottom w:val="0"/>
      <w:divBdr>
        <w:top w:val="none" w:sz="0" w:space="0" w:color="auto"/>
        <w:left w:val="none" w:sz="0" w:space="0" w:color="auto"/>
        <w:bottom w:val="none" w:sz="0" w:space="0" w:color="auto"/>
        <w:right w:val="none" w:sz="0" w:space="0" w:color="auto"/>
      </w:divBdr>
    </w:div>
    <w:div w:id="138109023">
      <w:bodyDiv w:val="1"/>
      <w:marLeft w:val="0"/>
      <w:marRight w:val="0"/>
      <w:marTop w:val="0"/>
      <w:marBottom w:val="0"/>
      <w:divBdr>
        <w:top w:val="none" w:sz="0" w:space="0" w:color="auto"/>
        <w:left w:val="none" w:sz="0" w:space="0" w:color="auto"/>
        <w:bottom w:val="none" w:sz="0" w:space="0" w:color="auto"/>
        <w:right w:val="none" w:sz="0" w:space="0" w:color="auto"/>
      </w:divBdr>
    </w:div>
    <w:div w:id="217514340">
      <w:bodyDiv w:val="1"/>
      <w:marLeft w:val="0"/>
      <w:marRight w:val="0"/>
      <w:marTop w:val="0"/>
      <w:marBottom w:val="0"/>
      <w:divBdr>
        <w:top w:val="none" w:sz="0" w:space="0" w:color="auto"/>
        <w:left w:val="none" w:sz="0" w:space="0" w:color="auto"/>
        <w:bottom w:val="none" w:sz="0" w:space="0" w:color="auto"/>
        <w:right w:val="none" w:sz="0" w:space="0" w:color="auto"/>
      </w:divBdr>
    </w:div>
    <w:div w:id="299964172">
      <w:bodyDiv w:val="1"/>
      <w:marLeft w:val="0"/>
      <w:marRight w:val="0"/>
      <w:marTop w:val="0"/>
      <w:marBottom w:val="0"/>
      <w:divBdr>
        <w:top w:val="none" w:sz="0" w:space="0" w:color="auto"/>
        <w:left w:val="none" w:sz="0" w:space="0" w:color="auto"/>
        <w:bottom w:val="none" w:sz="0" w:space="0" w:color="auto"/>
        <w:right w:val="none" w:sz="0" w:space="0" w:color="auto"/>
      </w:divBdr>
    </w:div>
    <w:div w:id="321549395">
      <w:bodyDiv w:val="1"/>
      <w:marLeft w:val="0"/>
      <w:marRight w:val="0"/>
      <w:marTop w:val="0"/>
      <w:marBottom w:val="0"/>
      <w:divBdr>
        <w:top w:val="none" w:sz="0" w:space="0" w:color="auto"/>
        <w:left w:val="none" w:sz="0" w:space="0" w:color="auto"/>
        <w:bottom w:val="none" w:sz="0" w:space="0" w:color="auto"/>
        <w:right w:val="none" w:sz="0" w:space="0" w:color="auto"/>
      </w:divBdr>
    </w:div>
    <w:div w:id="456684966">
      <w:bodyDiv w:val="1"/>
      <w:marLeft w:val="0"/>
      <w:marRight w:val="0"/>
      <w:marTop w:val="0"/>
      <w:marBottom w:val="0"/>
      <w:divBdr>
        <w:top w:val="none" w:sz="0" w:space="0" w:color="auto"/>
        <w:left w:val="none" w:sz="0" w:space="0" w:color="auto"/>
        <w:bottom w:val="none" w:sz="0" w:space="0" w:color="auto"/>
        <w:right w:val="none" w:sz="0" w:space="0" w:color="auto"/>
      </w:divBdr>
    </w:div>
    <w:div w:id="692536754">
      <w:bodyDiv w:val="1"/>
      <w:marLeft w:val="0"/>
      <w:marRight w:val="0"/>
      <w:marTop w:val="0"/>
      <w:marBottom w:val="0"/>
      <w:divBdr>
        <w:top w:val="none" w:sz="0" w:space="0" w:color="auto"/>
        <w:left w:val="none" w:sz="0" w:space="0" w:color="auto"/>
        <w:bottom w:val="none" w:sz="0" w:space="0" w:color="auto"/>
        <w:right w:val="none" w:sz="0" w:space="0" w:color="auto"/>
      </w:divBdr>
    </w:div>
    <w:div w:id="753625727">
      <w:bodyDiv w:val="1"/>
      <w:marLeft w:val="0"/>
      <w:marRight w:val="0"/>
      <w:marTop w:val="0"/>
      <w:marBottom w:val="0"/>
      <w:divBdr>
        <w:top w:val="none" w:sz="0" w:space="0" w:color="auto"/>
        <w:left w:val="none" w:sz="0" w:space="0" w:color="auto"/>
        <w:bottom w:val="none" w:sz="0" w:space="0" w:color="auto"/>
        <w:right w:val="none" w:sz="0" w:space="0" w:color="auto"/>
      </w:divBdr>
    </w:div>
    <w:div w:id="796988427">
      <w:bodyDiv w:val="1"/>
      <w:marLeft w:val="0"/>
      <w:marRight w:val="0"/>
      <w:marTop w:val="0"/>
      <w:marBottom w:val="0"/>
      <w:divBdr>
        <w:top w:val="none" w:sz="0" w:space="0" w:color="auto"/>
        <w:left w:val="none" w:sz="0" w:space="0" w:color="auto"/>
        <w:bottom w:val="none" w:sz="0" w:space="0" w:color="auto"/>
        <w:right w:val="none" w:sz="0" w:space="0" w:color="auto"/>
      </w:divBdr>
    </w:div>
    <w:div w:id="865367280">
      <w:bodyDiv w:val="1"/>
      <w:marLeft w:val="0"/>
      <w:marRight w:val="0"/>
      <w:marTop w:val="0"/>
      <w:marBottom w:val="0"/>
      <w:divBdr>
        <w:top w:val="none" w:sz="0" w:space="0" w:color="auto"/>
        <w:left w:val="none" w:sz="0" w:space="0" w:color="auto"/>
        <w:bottom w:val="none" w:sz="0" w:space="0" w:color="auto"/>
        <w:right w:val="none" w:sz="0" w:space="0" w:color="auto"/>
      </w:divBdr>
    </w:div>
    <w:div w:id="933056481">
      <w:bodyDiv w:val="1"/>
      <w:marLeft w:val="0"/>
      <w:marRight w:val="0"/>
      <w:marTop w:val="0"/>
      <w:marBottom w:val="0"/>
      <w:divBdr>
        <w:top w:val="none" w:sz="0" w:space="0" w:color="auto"/>
        <w:left w:val="none" w:sz="0" w:space="0" w:color="auto"/>
        <w:bottom w:val="none" w:sz="0" w:space="0" w:color="auto"/>
        <w:right w:val="none" w:sz="0" w:space="0" w:color="auto"/>
      </w:divBdr>
    </w:div>
    <w:div w:id="1004284154">
      <w:bodyDiv w:val="1"/>
      <w:marLeft w:val="0"/>
      <w:marRight w:val="0"/>
      <w:marTop w:val="0"/>
      <w:marBottom w:val="0"/>
      <w:divBdr>
        <w:top w:val="none" w:sz="0" w:space="0" w:color="auto"/>
        <w:left w:val="none" w:sz="0" w:space="0" w:color="auto"/>
        <w:bottom w:val="none" w:sz="0" w:space="0" w:color="auto"/>
        <w:right w:val="none" w:sz="0" w:space="0" w:color="auto"/>
      </w:divBdr>
    </w:div>
    <w:div w:id="1076587233">
      <w:bodyDiv w:val="1"/>
      <w:marLeft w:val="0"/>
      <w:marRight w:val="0"/>
      <w:marTop w:val="0"/>
      <w:marBottom w:val="0"/>
      <w:divBdr>
        <w:top w:val="none" w:sz="0" w:space="0" w:color="auto"/>
        <w:left w:val="none" w:sz="0" w:space="0" w:color="auto"/>
        <w:bottom w:val="none" w:sz="0" w:space="0" w:color="auto"/>
        <w:right w:val="none" w:sz="0" w:space="0" w:color="auto"/>
      </w:divBdr>
    </w:div>
    <w:div w:id="1101687436">
      <w:bodyDiv w:val="1"/>
      <w:marLeft w:val="0"/>
      <w:marRight w:val="0"/>
      <w:marTop w:val="0"/>
      <w:marBottom w:val="0"/>
      <w:divBdr>
        <w:top w:val="none" w:sz="0" w:space="0" w:color="auto"/>
        <w:left w:val="none" w:sz="0" w:space="0" w:color="auto"/>
        <w:bottom w:val="none" w:sz="0" w:space="0" w:color="auto"/>
        <w:right w:val="none" w:sz="0" w:space="0" w:color="auto"/>
      </w:divBdr>
    </w:div>
    <w:div w:id="1109667213">
      <w:bodyDiv w:val="1"/>
      <w:marLeft w:val="0"/>
      <w:marRight w:val="0"/>
      <w:marTop w:val="0"/>
      <w:marBottom w:val="0"/>
      <w:divBdr>
        <w:top w:val="none" w:sz="0" w:space="0" w:color="auto"/>
        <w:left w:val="none" w:sz="0" w:space="0" w:color="auto"/>
        <w:bottom w:val="none" w:sz="0" w:space="0" w:color="auto"/>
        <w:right w:val="none" w:sz="0" w:space="0" w:color="auto"/>
      </w:divBdr>
    </w:div>
    <w:div w:id="1115635021">
      <w:bodyDiv w:val="1"/>
      <w:marLeft w:val="0"/>
      <w:marRight w:val="0"/>
      <w:marTop w:val="0"/>
      <w:marBottom w:val="0"/>
      <w:divBdr>
        <w:top w:val="none" w:sz="0" w:space="0" w:color="auto"/>
        <w:left w:val="none" w:sz="0" w:space="0" w:color="auto"/>
        <w:bottom w:val="none" w:sz="0" w:space="0" w:color="auto"/>
        <w:right w:val="none" w:sz="0" w:space="0" w:color="auto"/>
      </w:divBdr>
    </w:div>
    <w:div w:id="1137531019">
      <w:bodyDiv w:val="1"/>
      <w:marLeft w:val="0"/>
      <w:marRight w:val="0"/>
      <w:marTop w:val="0"/>
      <w:marBottom w:val="0"/>
      <w:divBdr>
        <w:top w:val="none" w:sz="0" w:space="0" w:color="auto"/>
        <w:left w:val="none" w:sz="0" w:space="0" w:color="auto"/>
        <w:bottom w:val="none" w:sz="0" w:space="0" w:color="auto"/>
        <w:right w:val="none" w:sz="0" w:space="0" w:color="auto"/>
      </w:divBdr>
    </w:div>
    <w:div w:id="1194657103">
      <w:bodyDiv w:val="1"/>
      <w:marLeft w:val="0"/>
      <w:marRight w:val="0"/>
      <w:marTop w:val="0"/>
      <w:marBottom w:val="0"/>
      <w:divBdr>
        <w:top w:val="none" w:sz="0" w:space="0" w:color="auto"/>
        <w:left w:val="none" w:sz="0" w:space="0" w:color="auto"/>
        <w:bottom w:val="none" w:sz="0" w:space="0" w:color="auto"/>
        <w:right w:val="none" w:sz="0" w:space="0" w:color="auto"/>
      </w:divBdr>
    </w:div>
    <w:div w:id="1247110429">
      <w:bodyDiv w:val="1"/>
      <w:marLeft w:val="0"/>
      <w:marRight w:val="0"/>
      <w:marTop w:val="0"/>
      <w:marBottom w:val="0"/>
      <w:divBdr>
        <w:top w:val="none" w:sz="0" w:space="0" w:color="auto"/>
        <w:left w:val="none" w:sz="0" w:space="0" w:color="auto"/>
        <w:bottom w:val="none" w:sz="0" w:space="0" w:color="auto"/>
        <w:right w:val="none" w:sz="0" w:space="0" w:color="auto"/>
      </w:divBdr>
    </w:div>
    <w:div w:id="1383558605">
      <w:bodyDiv w:val="1"/>
      <w:marLeft w:val="0"/>
      <w:marRight w:val="0"/>
      <w:marTop w:val="0"/>
      <w:marBottom w:val="0"/>
      <w:divBdr>
        <w:top w:val="none" w:sz="0" w:space="0" w:color="auto"/>
        <w:left w:val="none" w:sz="0" w:space="0" w:color="auto"/>
        <w:bottom w:val="none" w:sz="0" w:space="0" w:color="auto"/>
        <w:right w:val="none" w:sz="0" w:space="0" w:color="auto"/>
      </w:divBdr>
    </w:div>
    <w:div w:id="1435978851">
      <w:bodyDiv w:val="1"/>
      <w:marLeft w:val="0"/>
      <w:marRight w:val="0"/>
      <w:marTop w:val="0"/>
      <w:marBottom w:val="0"/>
      <w:divBdr>
        <w:top w:val="none" w:sz="0" w:space="0" w:color="auto"/>
        <w:left w:val="none" w:sz="0" w:space="0" w:color="auto"/>
        <w:bottom w:val="none" w:sz="0" w:space="0" w:color="auto"/>
        <w:right w:val="none" w:sz="0" w:space="0" w:color="auto"/>
      </w:divBdr>
    </w:div>
    <w:div w:id="1444420021">
      <w:bodyDiv w:val="1"/>
      <w:marLeft w:val="0"/>
      <w:marRight w:val="0"/>
      <w:marTop w:val="0"/>
      <w:marBottom w:val="0"/>
      <w:divBdr>
        <w:top w:val="none" w:sz="0" w:space="0" w:color="auto"/>
        <w:left w:val="none" w:sz="0" w:space="0" w:color="auto"/>
        <w:bottom w:val="none" w:sz="0" w:space="0" w:color="auto"/>
        <w:right w:val="none" w:sz="0" w:space="0" w:color="auto"/>
      </w:divBdr>
    </w:div>
    <w:div w:id="1497527765">
      <w:bodyDiv w:val="1"/>
      <w:marLeft w:val="0"/>
      <w:marRight w:val="0"/>
      <w:marTop w:val="0"/>
      <w:marBottom w:val="0"/>
      <w:divBdr>
        <w:top w:val="none" w:sz="0" w:space="0" w:color="auto"/>
        <w:left w:val="none" w:sz="0" w:space="0" w:color="auto"/>
        <w:bottom w:val="none" w:sz="0" w:space="0" w:color="auto"/>
        <w:right w:val="none" w:sz="0" w:space="0" w:color="auto"/>
      </w:divBdr>
    </w:div>
    <w:div w:id="1899977050">
      <w:bodyDiv w:val="1"/>
      <w:marLeft w:val="0"/>
      <w:marRight w:val="0"/>
      <w:marTop w:val="0"/>
      <w:marBottom w:val="0"/>
      <w:divBdr>
        <w:top w:val="none" w:sz="0" w:space="0" w:color="auto"/>
        <w:left w:val="none" w:sz="0" w:space="0" w:color="auto"/>
        <w:bottom w:val="none" w:sz="0" w:space="0" w:color="auto"/>
        <w:right w:val="none" w:sz="0" w:space="0" w:color="auto"/>
      </w:divBdr>
    </w:div>
    <w:div w:id="20568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F2346-EABC-44D5-9BB7-81EA4CDF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2017-05-26T01:52:00Z</dcterms:created>
  <dcterms:modified xsi:type="dcterms:W3CDTF">2017-05-26T01:53:00Z</dcterms:modified>
</cp:coreProperties>
</file>