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CellMar>
          <w:left w:w="0" w:type="dxa"/>
          <w:right w:w="0" w:type="dxa"/>
        </w:tblCellMar>
        <w:tblLook w:val="04A0" w:firstRow="1" w:lastRow="0" w:firstColumn="1" w:lastColumn="0" w:noHBand="0" w:noVBand="1"/>
      </w:tblPr>
      <w:tblGrid>
        <w:gridCol w:w="3787"/>
        <w:gridCol w:w="287"/>
        <w:gridCol w:w="4136"/>
        <w:gridCol w:w="2140"/>
      </w:tblGrid>
      <w:tr w:rsidR="004E3BA6" w:rsidRPr="004E3BA6" w:rsidTr="004E3BA6">
        <w:trPr>
          <w:trHeight w:val="315"/>
        </w:trPr>
        <w:tc>
          <w:tcPr>
            <w:tcW w:w="0" w:type="auto"/>
            <w:tcBorders>
              <w:top w:val="double" w:sz="4" w:space="0" w:color="000000" w:themeColor="text1"/>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BẢN TIN THUẾ</w:t>
            </w:r>
          </w:p>
        </w:tc>
        <w:tc>
          <w:tcPr>
            <w:tcW w:w="0" w:type="auto"/>
            <w:gridSpan w:val="2"/>
            <w:tcBorders>
              <w:top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Danh mục</w:t>
            </w:r>
          </w:p>
        </w:tc>
        <w:tc>
          <w:tcPr>
            <w:tcW w:w="0" w:type="auto"/>
            <w:tcBorders>
              <w:top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Trang</w:t>
            </w:r>
          </w:p>
        </w:tc>
      </w:tr>
      <w:tr w:rsidR="004E3BA6" w:rsidRPr="004E3BA6" w:rsidTr="004E3BA6">
        <w:trPr>
          <w:trHeight w:val="315"/>
        </w:trPr>
        <w:tc>
          <w:tcPr>
            <w:tcW w:w="0" w:type="auto"/>
            <w:tcBorders>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Số 1319</w:t>
            </w:r>
          </w:p>
        </w:tc>
        <w:tc>
          <w:tcPr>
            <w:tcW w:w="0" w:type="auto"/>
            <w:gridSpan w:val="2"/>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Văn bản pháp luật</w:t>
            </w:r>
          </w:p>
        </w:tc>
        <w:tc>
          <w:tcPr>
            <w:tcW w:w="0" w:type="auto"/>
            <w:tcBorders>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bookmarkStart w:id="0" w:name="_GoBack"/>
            <w:bookmarkEnd w:id="0"/>
            <w:r w:rsidRPr="004E3BA6">
              <w:rPr>
                <w:rFonts w:ascii="Times New Roman" w:eastAsia="Times New Roman" w:hAnsi="Times New Roman" w:cs="Times New Roman"/>
                <w:color w:val="FFFFFF"/>
                <w:sz w:val="24"/>
                <w:szCs w:val="24"/>
              </w:rPr>
              <w:t>1</w:t>
            </w:r>
          </w:p>
        </w:tc>
      </w:tr>
      <w:tr w:rsidR="004E3BA6" w:rsidRPr="004E3BA6" w:rsidTr="004E3BA6">
        <w:trPr>
          <w:trHeight w:val="315"/>
        </w:trPr>
        <w:tc>
          <w:tcPr>
            <w:tcW w:w="0" w:type="auto"/>
            <w:tcBorders>
              <w:lef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(01/04/2019 - 13/04/2019)</w:t>
            </w:r>
          </w:p>
        </w:tc>
        <w:tc>
          <w:tcPr>
            <w:tcW w:w="0" w:type="auto"/>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Vấn đề cần lưu ý</w:t>
            </w:r>
          </w:p>
        </w:tc>
        <w:tc>
          <w:tcPr>
            <w:tcW w:w="0" w:type="auto"/>
            <w:tcBorders>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right"/>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2</w:t>
            </w:r>
          </w:p>
        </w:tc>
      </w:tr>
      <w:tr w:rsidR="004E3BA6" w:rsidRPr="004E3BA6" w:rsidTr="004E3BA6">
        <w:trPr>
          <w:trHeight w:val="315"/>
        </w:trPr>
        <w:tc>
          <w:tcPr>
            <w:tcW w:w="0" w:type="auto"/>
            <w:tcBorders>
              <w:left w:val="double" w:sz="4" w:space="0" w:color="000000" w:themeColor="text1"/>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c>
          <w:tcPr>
            <w:tcW w:w="0" w:type="auto"/>
            <w:tcBorders>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rPr>
                <w:rFonts w:ascii="Arial" w:eastAsia="Times New Roman" w:hAnsi="Arial" w:cs="Arial"/>
                <w:sz w:val="20"/>
                <w:szCs w:val="20"/>
              </w:rPr>
            </w:pPr>
          </w:p>
        </w:tc>
      </w:tr>
      <w:tr w:rsidR="004E3BA6" w:rsidRPr="004E3BA6" w:rsidTr="004E3BA6">
        <w:trPr>
          <w:trHeight w:val="555"/>
        </w:trPr>
        <w:tc>
          <w:tcPr>
            <w:tcW w:w="0" w:type="auto"/>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VĂN BẢN PHÁP LUẬT LĨNH VỰC THUẾ</w:t>
            </w:r>
          </w:p>
        </w:tc>
      </w:tr>
      <w:tr w:rsidR="004E3BA6" w:rsidRPr="004E3BA6" w:rsidTr="004E3BA6">
        <w:trPr>
          <w:trHeight w:val="315"/>
        </w:trPr>
        <w:tc>
          <w:tcPr>
            <w:tcW w:w="0" w:type="auto"/>
            <w:tcBorders>
              <w:top w:val="double" w:sz="4" w:space="0" w:color="000000" w:themeColor="text1"/>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số 11508/CT-TTHT ban hành ngày 26/03/2019 bởi Cục Thuế thành phố Hà Nội</w:t>
            </w:r>
          </w:p>
        </w:tc>
        <w:tc>
          <w:tcPr>
            <w:tcW w:w="0" w:type="auto"/>
            <w:gridSpan w:val="3"/>
            <w:tcBorders>
              <w:top w:val="double" w:sz="4" w:space="0" w:color="000000" w:themeColor="text1"/>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VỀ CHÍNH SÁCH THUẾ NHÀ THẦU</w:t>
            </w:r>
          </w:p>
        </w:tc>
      </w:tr>
      <w:tr w:rsidR="004E3BA6"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số 11505/CT-TTHT ban hành ngày 26/03/2019 bởi Cục Thuế thành phố Hà Nội</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VỀ CHÍNH SÁCH THUẾ GTGT</w:t>
            </w:r>
          </w:p>
        </w:tc>
      </w:tr>
      <w:tr w:rsidR="004E3BA6"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11335/CT-TTHT ban hành ngày 25/03/2019 bởi Cục Thuế thành phố Hà Nội</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VỀ KHẤU TRỪ THUẾ GTGT ĐẦU VÀO VÀ HẠCH TOÁN CHI PHÍ KHI BÊN BÁN THAY ĐỔI TÊN</w:t>
            </w:r>
          </w:p>
        </w:tc>
      </w:tr>
      <w:tr w:rsidR="004E3BA6"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11233/CT-TTHT ban hành ngày 25/03/2019 bởi Cục thuế thành phố Hà Nội</w:t>
            </w:r>
          </w:p>
        </w:tc>
        <w:tc>
          <w:tcPr>
            <w:tcW w:w="0" w:type="auto"/>
            <w:gridSpan w:val="3"/>
            <w:tcBorders>
              <w:top w:val="dotted" w:sz="4" w:space="0" w:color="auto"/>
              <w:left w:val="dotted" w:sz="4" w:space="0" w:color="auto"/>
              <w:bottom w:val="dotted" w:sz="4" w:space="0" w:color="auto"/>
              <w:right w:val="double" w:sz="4" w:space="0" w:color="000000" w:themeColor="text1"/>
            </w:tcBorders>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sz w:val="24"/>
                <w:szCs w:val="24"/>
              </w:rPr>
            </w:pPr>
            <w:r w:rsidRPr="004E3BA6">
              <w:rPr>
                <w:rFonts w:ascii="Times New Roman" w:eastAsia="Times New Roman" w:hAnsi="Times New Roman" w:cs="Times New Roman"/>
                <w:sz w:val="24"/>
                <w:szCs w:val="24"/>
              </w:rPr>
              <w:t>VỀ KHẤU TRỪ THUẾ THU NHẬP DOANH NGHIỆP ĐÃ NỘP TẠI NƯỚC NGOÀI</w:t>
            </w:r>
          </w:p>
        </w:tc>
      </w:tr>
      <w:tr w:rsidR="004E3BA6" w:rsidRPr="004E3BA6" w:rsidTr="004E3BA6">
        <w:trPr>
          <w:trHeight w:val="315"/>
        </w:trPr>
        <w:tc>
          <w:tcPr>
            <w:tcW w:w="0" w:type="auto"/>
            <w:tcBorders>
              <w:top w:val="dotted" w:sz="4" w:space="0" w:color="auto"/>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11232/CT-TTHT Ban hành ngày 25/03/2019 bởi Cục Thuế thành phố Hà Nội</w:t>
            </w:r>
          </w:p>
        </w:tc>
        <w:tc>
          <w:tcPr>
            <w:tcW w:w="0" w:type="auto"/>
            <w:gridSpan w:val="3"/>
            <w:tcBorders>
              <w:top w:val="dotted" w:sz="4" w:space="0" w:color="auto"/>
              <w:left w:val="dotted" w:sz="4" w:space="0" w:color="auto"/>
              <w:bottom w:val="dotted" w:sz="4" w:space="0" w:color="auto"/>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VỀ CHÍNH SÁCH THUẾ NHÀ THẦU ĐỐI VỚI HOẠT ĐỘNG NHẬP KHẢU PHẦN MỀM</w:t>
            </w:r>
          </w:p>
        </w:tc>
      </w:tr>
      <w:tr w:rsidR="004E3BA6" w:rsidRPr="004E3BA6" w:rsidTr="004E3BA6">
        <w:trPr>
          <w:trHeight w:val="315"/>
        </w:trPr>
        <w:tc>
          <w:tcPr>
            <w:tcW w:w="0" w:type="auto"/>
            <w:tcBorders>
              <w:top w:val="dotted" w:sz="4" w:space="0" w:color="auto"/>
              <w:left w:val="double" w:sz="4" w:space="0" w:color="000000" w:themeColor="text1"/>
              <w:bottom w:val="double" w:sz="4" w:space="0" w:color="000000" w:themeColor="text1"/>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11231/CT-TTHT ban hành ngày 25/03/2019 bởi Cục Thuế thành phố Hà Nội</w:t>
            </w:r>
          </w:p>
        </w:tc>
        <w:tc>
          <w:tcPr>
            <w:tcW w:w="0" w:type="auto"/>
            <w:gridSpan w:val="3"/>
            <w:tcBorders>
              <w:top w:val="dotted" w:sz="4" w:space="0" w:color="auto"/>
              <w:left w:val="dotted" w:sz="4" w:space="0" w:color="auto"/>
              <w:bottom w:val="double" w:sz="4" w:space="0" w:color="000000" w:themeColor="text1"/>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VỀ CHÍNH SÁCH THUẾ GTGT LIÊN QUAN ĐẾN HOẠT ĐỘNG KHUYẾN MÃ</w:t>
            </w:r>
          </w:p>
        </w:tc>
      </w:tr>
      <w:tr w:rsidR="004E3BA6" w:rsidRPr="004E3BA6" w:rsidTr="004E3BA6">
        <w:trPr>
          <w:trHeight w:val="615"/>
        </w:trPr>
        <w:tc>
          <w:tcPr>
            <w:tcW w:w="0" w:type="auto"/>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C0000"/>
            <w:tcMar>
              <w:top w:w="30" w:type="dxa"/>
              <w:left w:w="45" w:type="dxa"/>
              <w:bottom w:w="30" w:type="dxa"/>
              <w:right w:w="45" w:type="dxa"/>
            </w:tcMar>
            <w:vAlign w:val="center"/>
            <w:hideMark/>
          </w:tcPr>
          <w:p w:rsidR="004E3BA6" w:rsidRPr="004E3BA6" w:rsidRDefault="004E3BA6" w:rsidP="004E3BA6">
            <w:pPr>
              <w:spacing w:after="0" w:line="240" w:lineRule="auto"/>
              <w:jc w:val="center"/>
              <w:rPr>
                <w:rFonts w:ascii="Times New Roman" w:eastAsia="Times New Roman" w:hAnsi="Times New Roman" w:cs="Times New Roman"/>
                <w:b/>
                <w:bCs/>
                <w:color w:val="FFFFFF"/>
                <w:sz w:val="24"/>
                <w:szCs w:val="24"/>
              </w:rPr>
            </w:pPr>
            <w:r w:rsidRPr="004E3BA6">
              <w:rPr>
                <w:rFonts w:ascii="Times New Roman" w:eastAsia="Times New Roman" w:hAnsi="Times New Roman" w:cs="Times New Roman"/>
                <w:b/>
                <w:bCs/>
                <w:color w:val="FFFFFF"/>
                <w:sz w:val="24"/>
                <w:szCs w:val="24"/>
              </w:rPr>
              <w:t>NHỮNG VẤN ĐỀ CẦN LƯU Ý</w:t>
            </w:r>
          </w:p>
        </w:tc>
      </w:tr>
      <w:tr w:rsidR="004E3BA6" w:rsidRPr="004E3BA6" w:rsidTr="004E3BA6">
        <w:trPr>
          <w:trHeight w:val="315"/>
        </w:trPr>
        <w:tc>
          <w:tcPr>
            <w:tcW w:w="0" w:type="auto"/>
            <w:tcBorders>
              <w:top w:val="double" w:sz="4" w:space="0" w:color="000000" w:themeColor="text1"/>
              <w:left w:val="double" w:sz="4" w:space="0" w:color="000000" w:themeColor="text1"/>
              <w:bottom w:val="dotted" w:sz="4" w:space="0" w:color="auto"/>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t>Công văn số 11233/CT-TTHT ngày 25 tháng 03 năm 2019 về khấu trừ thuế TNDN đã nộp tại nước ngoài bởi Cục thuế TP Hà Nội</w:t>
            </w:r>
          </w:p>
        </w:tc>
        <w:tc>
          <w:tcPr>
            <w:tcW w:w="0" w:type="auto"/>
            <w:gridSpan w:val="3"/>
            <w:tcBorders>
              <w:top w:val="double" w:sz="4" w:space="0" w:color="000000" w:themeColor="text1"/>
              <w:left w:val="dotted" w:sz="4" w:space="0" w:color="auto"/>
              <w:bottom w:val="dotted" w:sz="4" w:space="0" w:color="auto"/>
              <w:right w:val="double" w:sz="4" w:space="0" w:color="000000" w:themeColor="text1"/>
            </w:tcBorders>
            <w:tcMar>
              <w:top w:w="30" w:type="dxa"/>
              <w:left w:w="45" w:type="dxa"/>
              <w:bottom w:w="30" w:type="dxa"/>
              <w:right w:w="45" w:type="dxa"/>
            </w:tcMar>
            <w:vAlign w:val="center"/>
            <w:hideMark/>
          </w:tcPr>
          <w:p w:rsidR="004E3BA6" w:rsidRDefault="004E3BA6" w:rsidP="004E3BA6">
            <w:pPr>
              <w:spacing w:after="0" w:line="240" w:lineRule="auto"/>
              <w:jc w:val="both"/>
              <w:rPr>
                <w:rFonts w:ascii="Times New Roman" w:eastAsia="Times New Roman" w:hAnsi="Times New Roman" w:cs="Times New Roman"/>
                <w:sz w:val="24"/>
                <w:szCs w:val="24"/>
              </w:rPr>
            </w:pPr>
            <w:r w:rsidRPr="004E3BA6">
              <w:rPr>
                <w:rFonts w:ascii="Times New Roman" w:eastAsia="Times New Roman" w:hAnsi="Times New Roman" w:cs="Times New Roman"/>
                <w:sz w:val="24"/>
                <w:szCs w:val="24"/>
              </w:rPr>
              <w:t>Trường hợp Công ty Việt Nam ký hợp đồng cho thuê khô trực thăng với Công ty ở Ấn Độ để khai thác bay tại Ấn Độ, nếu khoản thu nhập từ việc cho thuê máy bay tại Ấn Độ (nước đã ký kết hiệp định tránh đánh thuế hai lần với Việt Nam) đã chịu thuế thu nhập doanh nghiệp (hoặc một loại thuế có bản chất tương tự như thuế thu nhập doanh nghiệp) ở Ấn Độ thì Công ty Việt Nam căn cứ vào hồ sơ, chứng từ chứng minh số thuế thu nhập đã nộp ở nước ngoài và khấu trừ vào số thuế TNDN phải nộp tại Việt Nam tương ứng phần doanh thu cho thuê máy bay đã hạch toán tại Việt Nam trong năm đó.</w:t>
            </w:r>
          </w:p>
          <w:p w:rsidR="004E3BA6" w:rsidRPr="004E3BA6" w:rsidRDefault="004E3BA6" w:rsidP="004E3BA6">
            <w:pPr>
              <w:spacing w:after="0" w:line="240" w:lineRule="auto"/>
              <w:jc w:val="both"/>
              <w:rPr>
                <w:rFonts w:ascii="Times New Roman" w:eastAsia="Times New Roman" w:hAnsi="Times New Roman" w:cs="Times New Roman"/>
                <w:sz w:val="24"/>
                <w:szCs w:val="24"/>
              </w:rPr>
            </w:pPr>
            <w:r w:rsidRPr="004E3BA6">
              <w:rPr>
                <w:rFonts w:ascii="Times New Roman" w:eastAsia="Times New Roman" w:hAnsi="Times New Roman" w:cs="Times New Roman"/>
                <w:sz w:val="24"/>
                <w:szCs w:val="24"/>
              </w:rPr>
              <w:t xml:space="preserve">Trường hợp Công ty không xác định được số thuế TNDN đã nộp ở nước ngoài được khấu trừ tại Việt Nam thì toàn bộ số thuế TNDN </w:t>
            </w:r>
            <w:r w:rsidRPr="004E3BA6">
              <w:rPr>
                <w:rFonts w:ascii="Times New Roman" w:eastAsia="Times New Roman" w:hAnsi="Times New Roman" w:cs="Times New Roman"/>
                <w:sz w:val="24"/>
                <w:szCs w:val="24"/>
              </w:rPr>
              <w:lastRenderedPageBreak/>
              <w:t>đã nộp ở nước ngoài được xác định là khoản chi không được trừ khi xác định thu nhập chịu thuế TNDN.</w:t>
            </w:r>
          </w:p>
        </w:tc>
      </w:tr>
      <w:tr w:rsidR="004E3BA6" w:rsidRPr="004E3BA6" w:rsidTr="004E3BA6">
        <w:trPr>
          <w:trHeight w:val="315"/>
        </w:trPr>
        <w:tc>
          <w:tcPr>
            <w:tcW w:w="0" w:type="auto"/>
            <w:tcBorders>
              <w:top w:val="dotted" w:sz="4" w:space="0" w:color="auto"/>
              <w:left w:val="double" w:sz="4" w:space="0" w:color="000000" w:themeColor="text1"/>
              <w:bottom w:val="double" w:sz="4" w:space="0" w:color="000000" w:themeColor="text1"/>
              <w:right w:val="dotted" w:sz="4" w:space="0" w:color="auto"/>
            </w:tcBorders>
            <w:shd w:val="clear" w:color="auto" w:fill="6AA84F"/>
            <w:tcMar>
              <w:top w:w="30" w:type="dxa"/>
              <w:left w:w="45" w:type="dxa"/>
              <w:bottom w:w="30" w:type="dxa"/>
              <w:right w:w="45" w:type="dxa"/>
            </w:tcMar>
            <w:vAlign w:val="center"/>
            <w:hideMark/>
          </w:tcPr>
          <w:p w:rsidR="004E3BA6" w:rsidRPr="004E3BA6" w:rsidRDefault="004E3BA6" w:rsidP="004E3BA6">
            <w:pPr>
              <w:spacing w:after="0" w:line="240" w:lineRule="auto"/>
              <w:rPr>
                <w:rFonts w:ascii="Times New Roman" w:eastAsia="Times New Roman" w:hAnsi="Times New Roman" w:cs="Times New Roman"/>
                <w:color w:val="FFFFFF"/>
                <w:sz w:val="24"/>
                <w:szCs w:val="24"/>
              </w:rPr>
            </w:pPr>
            <w:r w:rsidRPr="004E3BA6">
              <w:rPr>
                <w:rFonts w:ascii="Times New Roman" w:eastAsia="Times New Roman" w:hAnsi="Times New Roman" w:cs="Times New Roman"/>
                <w:color w:val="FFFFFF"/>
                <w:sz w:val="24"/>
                <w:szCs w:val="24"/>
              </w:rPr>
              <w:lastRenderedPageBreak/>
              <w:t>Công văn số 11335/CT-TTHT ngày 25/03/2019 về khấu trừ thuế GTGT đầu vào và hạch toán chi phí trường hợp đơn vị bán hàng thay đổi tên bởi Cục thuế TP Hà Nội</w:t>
            </w:r>
          </w:p>
        </w:tc>
        <w:tc>
          <w:tcPr>
            <w:tcW w:w="0" w:type="auto"/>
            <w:gridSpan w:val="3"/>
            <w:tcBorders>
              <w:top w:val="dotted" w:sz="4" w:space="0" w:color="auto"/>
              <w:left w:val="dotted" w:sz="4" w:space="0" w:color="auto"/>
              <w:bottom w:val="double" w:sz="4" w:space="0" w:color="000000" w:themeColor="text1"/>
              <w:right w:val="double" w:sz="4" w:space="0" w:color="000000" w:themeColor="text1"/>
            </w:tcBorders>
            <w:shd w:val="clear" w:color="auto" w:fill="FFFFFF"/>
            <w:tcMar>
              <w:top w:w="30" w:type="dxa"/>
              <w:left w:w="45" w:type="dxa"/>
              <w:bottom w:w="30" w:type="dxa"/>
              <w:right w:w="45" w:type="dxa"/>
            </w:tcMar>
            <w:vAlign w:val="center"/>
            <w:hideMark/>
          </w:tcPr>
          <w:p w:rsidR="004E3BA6" w:rsidRPr="004E3BA6" w:rsidRDefault="004E3BA6" w:rsidP="004E3BA6">
            <w:pPr>
              <w:spacing w:after="0" w:line="240" w:lineRule="auto"/>
              <w:jc w:val="both"/>
              <w:rPr>
                <w:rFonts w:ascii="Times New Roman" w:eastAsia="Times New Roman" w:hAnsi="Times New Roman" w:cs="Times New Roman"/>
                <w:color w:val="000000"/>
                <w:sz w:val="24"/>
                <w:szCs w:val="24"/>
              </w:rPr>
            </w:pPr>
            <w:r w:rsidRPr="004E3BA6">
              <w:rPr>
                <w:rFonts w:ascii="Times New Roman" w:eastAsia="Times New Roman" w:hAnsi="Times New Roman" w:cs="Times New Roman"/>
                <w:color w:val="000000"/>
                <w:sz w:val="24"/>
                <w:szCs w:val="24"/>
              </w:rPr>
              <w:t>Công ty/Bên Mua có giao dịch mua hàng hóa nhưng chưa thanh toán cho Bên Bán, Bên Bán đã xuất hóa đơn GTGT theo quy định. Sau đó Bên Bán đổi tên, mẫu dấu (theo quy định của pháp luật, đã thông báo cho Bên Mua) thì</w:t>
            </w:r>
            <w:proofErr w:type="gramStart"/>
            <w:r w:rsidRPr="004E3BA6">
              <w:rPr>
                <w:rFonts w:ascii="Times New Roman" w:eastAsia="Times New Roman" w:hAnsi="Times New Roman" w:cs="Times New Roman"/>
                <w:color w:val="000000"/>
                <w:sz w:val="24"/>
                <w:szCs w:val="24"/>
              </w:rPr>
              <w:t>:</w:t>
            </w:r>
            <w:proofErr w:type="gramEnd"/>
            <w:r w:rsidRPr="004E3BA6">
              <w:rPr>
                <w:rFonts w:ascii="Times New Roman" w:eastAsia="Times New Roman" w:hAnsi="Times New Roman" w:cs="Times New Roman"/>
                <w:color w:val="000000"/>
                <w:sz w:val="24"/>
                <w:szCs w:val="24"/>
              </w:rPr>
              <w:br/>
              <w:t>- Về thuế GTGT: Bên Mua được kê khai, khấu trừ thuế GTGT đầu vào cho hóa đơn đáp ứng Điều 15 Thông tư số 219/2013/TT-BTC.</w:t>
            </w:r>
            <w:r w:rsidRPr="004E3BA6">
              <w:rPr>
                <w:rFonts w:ascii="Times New Roman" w:eastAsia="Times New Roman" w:hAnsi="Times New Roman" w:cs="Times New Roman"/>
                <w:color w:val="000000"/>
                <w:sz w:val="24"/>
                <w:szCs w:val="24"/>
              </w:rPr>
              <w:br/>
              <w:t>- Về thuế TNDN: Bên Mua được tính vào chi phí được trừ khi xác định thu nhập chịu thuế nếu đáp ứng Điều 4 Thông tư số 96/2015/TT-BTC.</w:t>
            </w:r>
            <w:r w:rsidRPr="004E3BA6">
              <w:rPr>
                <w:rFonts w:ascii="Times New Roman" w:eastAsia="Times New Roman" w:hAnsi="Times New Roman" w:cs="Times New Roman"/>
                <w:color w:val="000000"/>
                <w:sz w:val="24"/>
                <w:szCs w:val="24"/>
              </w:rPr>
              <w:br/>
              <w:t>Bên Mua phải lưu tại đơn vị các thông báo của Bên Bán về sự thay đổi thông tin đăng ký kinh doanh và xuất trình khi bị kiểm tra thuế.</w:t>
            </w:r>
          </w:p>
        </w:tc>
      </w:tr>
    </w:tbl>
    <w:p w:rsidR="00FF4476" w:rsidRDefault="00FF4476"/>
    <w:p w:rsidR="00575D85" w:rsidRPr="00FF4476" w:rsidRDefault="00FF4476" w:rsidP="00FF4476">
      <w:pPr>
        <w:tabs>
          <w:tab w:val="left" w:pos="1663"/>
        </w:tabs>
      </w:pPr>
      <w:r>
        <w:tab/>
      </w:r>
    </w:p>
    <w:sectPr w:rsidR="00575D85" w:rsidRPr="00FF4476" w:rsidSect="004E3BA6">
      <w:headerReference w:type="even" r:id="rId8"/>
      <w:headerReference w:type="default" r:id="rId9"/>
      <w:footerReference w:type="default" r:id="rId10"/>
      <w:headerReference w:type="firs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90" w:rsidRDefault="00460590" w:rsidP="0070176B">
      <w:pPr>
        <w:spacing w:after="0" w:line="240" w:lineRule="auto"/>
      </w:pPr>
      <w:r>
        <w:separator/>
      </w:r>
    </w:p>
  </w:endnote>
  <w:endnote w:type="continuationSeparator" w:id="0">
    <w:p w:rsidR="00460590" w:rsidRDefault="00460590"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Pr="00120C48" w:rsidRDefault="001260B4"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14:anchorId="5177237B" wp14:editId="62991088">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90" w:rsidRDefault="00460590" w:rsidP="0070176B">
      <w:pPr>
        <w:spacing w:after="0" w:line="240" w:lineRule="auto"/>
      </w:pPr>
      <w:r>
        <w:separator/>
      </w:r>
    </w:p>
  </w:footnote>
  <w:footnote w:type="continuationSeparator" w:id="0">
    <w:p w:rsidR="00460590" w:rsidRDefault="00460590" w:rsidP="007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460590">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4" o:spid="_x0000_s2051" type="#_x0000_t136" style="position:absolute;margin-left:0;margin-top:0;width:568.25pt;height:154.95pt;rotation:315;z-index:-251653120;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460590" w:rsidP="0070176B">
    <w:pPr>
      <w:pStyle w:val="Header"/>
      <w:rPr>
        <w:rFonts w:ascii="Arial Black" w:hAnsi="Arial Black"/>
        <w:b/>
        <w:i/>
        <w:color w:val="FF0000"/>
      </w:rPr>
    </w:pPr>
    <w:bookmarkStart w:id="1" w:name="page1"/>
    <w:bookmarkEnd w:id="1"/>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5" o:spid="_x0000_s2052" type="#_x0000_t136" style="position:absolute;margin-left:0;margin-top:0;width:568.25pt;height:154.95pt;rotation:315;z-index:-251651072;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p w:rsidR="001260B4" w:rsidRDefault="001260B4" w:rsidP="0070176B">
    <w:pPr>
      <w:pStyle w:val="Header"/>
      <w:rPr>
        <w:rFonts w:ascii="Arial Black" w:hAnsi="Arial Black"/>
        <w:b/>
        <w:i/>
        <w:color w:val="FF0000"/>
      </w:rPr>
    </w:pPr>
  </w:p>
  <w:p w:rsidR="001260B4" w:rsidRDefault="001260B4" w:rsidP="0070176B">
    <w:pPr>
      <w:pStyle w:val="Header"/>
      <w:rPr>
        <w:rFonts w:ascii="Arial Black" w:hAnsi="Arial Black"/>
        <w:b/>
        <w:i/>
        <w:color w:val="FF0000"/>
      </w:rPr>
    </w:pPr>
  </w:p>
  <w:p w:rsidR="001260B4" w:rsidRDefault="001260B4"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14:anchorId="7FFB29B0" wp14:editId="617B479C">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1260B4" w:rsidRPr="0070176B" w:rsidRDefault="001260B4" w:rsidP="007017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B4" w:rsidRDefault="00460590">
    <w:pPr>
      <w:pStyle w:val="Header"/>
    </w:pPr>
    <w:r>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1773" o:spid="_x0000_s2050" type="#_x0000_t136" style="position:absolute;margin-left:0;margin-top:0;width:568.25pt;height:154.95pt;rotation:315;z-index:-251655168;mso-position-horizontal:center;mso-position-horizontal-relative:margin;mso-position-vertical:center;mso-position-vertical-relative:margin" o:allowincell="f" fillcolor="silver" stroked="f">
          <v:textpath style="font-family:&quot;Consolas&quot;;font-size:1pt" string="TAIVIET.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B"/>
    <w:rsid w:val="00050083"/>
    <w:rsid w:val="00062AE1"/>
    <w:rsid w:val="00090FAD"/>
    <w:rsid w:val="000E6BA1"/>
    <w:rsid w:val="001037B8"/>
    <w:rsid w:val="00120C48"/>
    <w:rsid w:val="001260B4"/>
    <w:rsid w:val="00174E39"/>
    <w:rsid w:val="001A34C5"/>
    <w:rsid w:val="002010F5"/>
    <w:rsid w:val="00223E14"/>
    <w:rsid w:val="00266A70"/>
    <w:rsid w:val="003076FB"/>
    <w:rsid w:val="0031208C"/>
    <w:rsid w:val="00313EC8"/>
    <w:rsid w:val="003A443F"/>
    <w:rsid w:val="003C7A73"/>
    <w:rsid w:val="00444B56"/>
    <w:rsid w:val="00460590"/>
    <w:rsid w:val="004E3BA6"/>
    <w:rsid w:val="00560E47"/>
    <w:rsid w:val="00575D85"/>
    <w:rsid w:val="005D4029"/>
    <w:rsid w:val="00686360"/>
    <w:rsid w:val="0070176B"/>
    <w:rsid w:val="00790092"/>
    <w:rsid w:val="007A56AC"/>
    <w:rsid w:val="007C1B52"/>
    <w:rsid w:val="008B32C5"/>
    <w:rsid w:val="008B46C9"/>
    <w:rsid w:val="00953FCF"/>
    <w:rsid w:val="00966446"/>
    <w:rsid w:val="00AD71CB"/>
    <w:rsid w:val="00BA465D"/>
    <w:rsid w:val="00C71D0F"/>
    <w:rsid w:val="00C84366"/>
    <w:rsid w:val="00CB270F"/>
    <w:rsid w:val="00CC5D61"/>
    <w:rsid w:val="00CE430C"/>
    <w:rsid w:val="00D05FE3"/>
    <w:rsid w:val="00D23832"/>
    <w:rsid w:val="00D9133C"/>
    <w:rsid w:val="00DE0F07"/>
    <w:rsid w:val="00E47484"/>
    <w:rsid w:val="00E66576"/>
    <w:rsid w:val="00F937A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356780459">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671982378">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87241-8AE6-43DD-9A7A-6C51E729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2019-04-15T10:52:00Z</dcterms:created>
  <dcterms:modified xsi:type="dcterms:W3CDTF">2019-04-15T10:52:00Z</dcterms:modified>
</cp:coreProperties>
</file>