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287"/>
        <w:gridCol w:w="1456"/>
      </w:tblGrid>
      <w:tr w:rsidR="00520C7F" w:rsidRPr="00E340C3" w:rsidTr="008314D1">
        <w:tc>
          <w:tcPr>
            <w:tcW w:w="3263" w:type="dxa"/>
            <w:tcBorders>
              <w:top w:val="single" w:sz="4" w:space="0" w:color="auto"/>
              <w:left w:val="single" w:sz="4" w:space="0" w:color="auto"/>
              <w:bottom w:val="single" w:sz="4" w:space="0" w:color="auto"/>
              <w:right w:val="nil"/>
            </w:tcBorders>
            <w:shd w:val="clear" w:color="auto" w:fill="C00000"/>
          </w:tcPr>
          <w:p w:rsidR="00520C7F" w:rsidRPr="00E340C3" w:rsidRDefault="00520C7F" w:rsidP="008314D1">
            <w:pPr>
              <w:jc w:val="center"/>
              <w:rPr>
                <w:rFonts w:ascii="Times New Roman" w:hAnsi="Times New Roman"/>
                <w:b/>
                <w:color w:val="FFFFFF"/>
                <w:sz w:val="24"/>
                <w:szCs w:val="24"/>
                <w:u w:color="993300"/>
                <w:lang w:val="en-US"/>
              </w:rPr>
            </w:pPr>
            <w:r>
              <w:rPr>
                <w:rFonts w:ascii="Times New Roman" w:hAnsi="Times New Roman"/>
                <w:b/>
                <w:color w:val="FFFFFF"/>
                <w:sz w:val="24"/>
                <w:szCs w:val="24"/>
                <w:u w:color="993300"/>
                <w:lang w:val="en-US"/>
              </w:rPr>
              <w:t>BẢN TIN THUẾ</w:t>
            </w:r>
          </w:p>
          <w:p w:rsidR="00520C7F" w:rsidRPr="00E340C3" w:rsidRDefault="00520C7F" w:rsidP="008314D1">
            <w:pPr>
              <w:tabs>
                <w:tab w:val="right" w:pos="3047"/>
              </w:tabs>
              <w:jc w:val="center"/>
              <w:rPr>
                <w:rFonts w:ascii="Times New Roman" w:hAnsi="Times New Roman"/>
                <w:b/>
                <w:color w:val="FFFFFF"/>
                <w:sz w:val="24"/>
                <w:szCs w:val="24"/>
                <w:u w:color="993300"/>
                <w:lang w:val="en-US"/>
              </w:rPr>
            </w:pPr>
            <w:r>
              <w:rPr>
                <w:rFonts w:ascii="Times New Roman" w:hAnsi="Times New Roman"/>
                <w:b/>
                <w:color w:val="FFFFFF"/>
                <w:sz w:val="24"/>
                <w:szCs w:val="24"/>
                <w:u w:color="993300"/>
                <w:lang w:val="en-US"/>
              </w:rPr>
              <w:t>Số 0117</w:t>
            </w:r>
          </w:p>
          <w:p w:rsidR="00520C7F" w:rsidRPr="00E340C3" w:rsidRDefault="00520C7F" w:rsidP="00520C7F">
            <w:pPr>
              <w:jc w:val="center"/>
              <w:rPr>
                <w:rFonts w:ascii="Times New Roman" w:hAnsi="Times New Roman"/>
                <w:b/>
                <w:color w:val="FFFFFF"/>
                <w:sz w:val="24"/>
                <w:szCs w:val="24"/>
              </w:rPr>
            </w:pPr>
            <w:r w:rsidRPr="00E340C3">
              <w:rPr>
                <w:rFonts w:ascii="Times New Roman" w:hAnsi="Times New Roman"/>
                <w:b/>
                <w:color w:val="FFFFFF"/>
                <w:sz w:val="24"/>
                <w:szCs w:val="24"/>
              </w:rPr>
              <w:t>(</w:t>
            </w:r>
            <w:r>
              <w:rPr>
                <w:rFonts w:ascii="Times New Roman" w:hAnsi="Times New Roman"/>
                <w:b/>
                <w:color w:val="FFFFFF"/>
                <w:sz w:val="24"/>
                <w:szCs w:val="24"/>
              </w:rPr>
              <w:t>02/01 – 07/01</w:t>
            </w:r>
            <w:r w:rsidRPr="00E340C3">
              <w:rPr>
                <w:rFonts w:ascii="Times New Roman" w:hAnsi="Times New Roman"/>
                <w:b/>
                <w:color w:val="FFFFFF"/>
                <w:sz w:val="24"/>
                <w:szCs w:val="24"/>
              </w:rPr>
              <w:t>)</w:t>
            </w:r>
          </w:p>
        </w:tc>
        <w:tc>
          <w:tcPr>
            <w:tcW w:w="5287" w:type="dxa"/>
            <w:tcBorders>
              <w:top w:val="single" w:sz="4" w:space="0" w:color="auto"/>
              <w:left w:val="nil"/>
              <w:bottom w:val="single" w:sz="4" w:space="0" w:color="auto"/>
              <w:right w:val="nil"/>
            </w:tcBorders>
            <w:shd w:val="clear" w:color="auto" w:fill="C00000"/>
          </w:tcPr>
          <w:p w:rsidR="00520C7F" w:rsidRPr="00E340C3" w:rsidRDefault="00520C7F" w:rsidP="008314D1">
            <w:pPr>
              <w:pStyle w:val="Heading1"/>
              <w:jc w:val="right"/>
              <w:rPr>
                <w:rFonts w:ascii="Times New Roman" w:hAnsi="Times New Roman"/>
                <w:b/>
                <w:lang w:val="en-US"/>
              </w:rPr>
            </w:pPr>
            <w:r>
              <w:rPr>
                <w:rFonts w:ascii="Times New Roman" w:hAnsi="Times New Roman"/>
                <w:b/>
                <w:lang w:val="en-US"/>
              </w:rPr>
              <w:t>Danh mục</w:t>
            </w:r>
          </w:p>
          <w:p w:rsidR="00520C7F" w:rsidRPr="00E340C3" w:rsidRDefault="00520C7F" w:rsidP="008314D1">
            <w:pPr>
              <w:jc w:val="right"/>
              <w:rPr>
                <w:rFonts w:ascii="Times New Roman" w:hAnsi="Times New Roman"/>
                <w:sz w:val="24"/>
                <w:szCs w:val="24"/>
                <w:lang w:val="en-US"/>
              </w:rPr>
            </w:pPr>
            <w:r>
              <w:rPr>
                <w:rFonts w:ascii="Times New Roman" w:hAnsi="Times New Roman"/>
                <w:sz w:val="24"/>
                <w:szCs w:val="24"/>
                <w:lang w:val="en-US"/>
              </w:rPr>
              <w:t>Văn b</w:t>
            </w:r>
            <w:r w:rsidR="00F754D5">
              <w:rPr>
                <w:rFonts w:ascii="Times New Roman" w:hAnsi="Times New Roman"/>
                <w:sz w:val="24"/>
                <w:szCs w:val="24"/>
                <w:lang w:val="en-US"/>
              </w:rPr>
              <w:t>ản pháp luật</w:t>
            </w:r>
          </w:p>
          <w:p w:rsidR="00520C7F" w:rsidRPr="00E340C3" w:rsidRDefault="00520C7F" w:rsidP="008314D1">
            <w:pPr>
              <w:jc w:val="right"/>
              <w:rPr>
                <w:rFonts w:ascii="Times New Roman" w:hAnsi="Times New Roman"/>
                <w:sz w:val="24"/>
                <w:szCs w:val="24"/>
                <w:lang w:val="en-US"/>
              </w:rPr>
            </w:pPr>
            <w:r>
              <w:rPr>
                <w:rFonts w:ascii="Times New Roman" w:hAnsi="Times New Roman"/>
                <w:sz w:val="24"/>
                <w:szCs w:val="24"/>
                <w:lang w:val="en-US"/>
              </w:rPr>
              <w:t>Vấn đề cần lưu ý</w:t>
            </w:r>
          </w:p>
        </w:tc>
        <w:tc>
          <w:tcPr>
            <w:tcW w:w="1456" w:type="dxa"/>
            <w:tcBorders>
              <w:top w:val="single" w:sz="4" w:space="0" w:color="auto"/>
              <w:left w:val="nil"/>
              <w:bottom w:val="single" w:sz="4" w:space="0" w:color="auto"/>
              <w:right w:val="single" w:sz="4" w:space="0" w:color="auto"/>
            </w:tcBorders>
            <w:shd w:val="clear" w:color="auto" w:fill="C00000"/>
          </w:tcPr>
          <w:p w:rsidR="00520C7F" w:rsidRPr="00E340C3" w:rsidRDefault="00520C7F" w:rsidP="008314D1">
            <w:pPr>
              <w:rPr>
                <w:rFonts w:ascii="Times New Roman" w:hAnsi="Times New Roman"/>
                <w:b/>
                <w:sz w:val="24"/>
                <w:szCs w:val="24"/>
                <w:lang w:val="en-US"/>
              </w:rPr>
            </w:pPr>
            <w:r>
              <w:rPr>
                <w:rFonts w:ascii="Times New Roman" w:hAnsi="Times New Roman"/>
                <w:b/>
                <w:sz w:val="24"/>
                <w:szCs w:val="24"/>
                <w:lang w:val="en-US"/>
              </w:rPr>
              <w:t>Trang</w:t>
            </w:r>
          </w:p>
          <w:p w:rsidR="00520C7F" w:rsidRPr="00E340C3" w:rsidRDefault="00520C7F" w:rsidP="008314D1">
            <w:pPr>
              <w:rPr>
                <w:rFonts w:ascii="Times New Roman" w:hAnsi="Times New Roman"/>
                <w:sz w:val="24"/>
                <w:szCs w:val="24"/>
                <w:lang w:val="en-US"/>
              </w:rPr>
            </w:pPr>
            <w:r w:rsidRPr="00E340C3">
              <w:rPr>
                <w:rFonts w:ascii="Times New Roman" w:hAnsi="Times New Roman"/>
                <w:sz w:val="24"/>
                <w:szCs w:val="24"/>
                <w:lang w:val="en-US"/>
              </w:rPr>
              <w:t>1</w:t>
            </w:r>
          </w:p>
          <w:p w:rsidR="00520C7F" w:rsidRPr="00E340C3" w:rsidRDefault="00520C7F" w:rsidP="008314D1">
            <w:pPr>
              <w:rPr>
                <w:lang w:val="en-US"/>
              </w:rPr>
            </w:pPr>
            <w:r w:rsidRPr="00E340C3">
              <w:rPr>
                <w:rFonts w:ascii="Times New Roman" w:hAnsi="Times New Roman"/>
                <w:sz w:val="24"/>
                <w:szCs w:val="24"/>
                <w:lang w:val="en-US"/>
              </w:rPr>
              <w:t>2</w:t>
            </w:r>
          </w:p>
        </w:tc>
      </w:tr>
      <w:tr w:rsidR="00520C7F" w:rsidRPr="00E340C3" w:rsidTr="008314D1">
        <w:tc>
          <w:tcPr>
            <w:tcW w:w="10006" w:type="dxa"/>
            <w:gridSpan w:val="3"/>
            <w:tcBorders>
              <w:top w:val="single" w:sz="4" w:space="0" w:color="auto"/>
            </w:tcBorders>
            <w:shd w:val="clear" w:color="auto" w:fill="C00000"/>
          </w:tcPr>
          <w:p w:rsidR="00520C7F" w:rsidRPr="00E340C3" w:rsidRDefault="00520C7F" w:rsidP="008314D1">
            <w:pPr>
              <w:pStyle w:val="Heading1"/>
              <w:ind w:left="-108"/>
              <w:jc w:val="both"/>
              <w:rPr>
                <w:rFonts w:ascii="Times New Roman" w:hAnsi="Times New Roman"/>
                <w:lang w:val="en-US"/>
              </w:rPr>
            </w:pPr>
            <w:r w:rsidRPr="00E340C3">
              <w:rPr>
                <w:rFonts w:ascii="Times New Roman" w:eastAsia="Times New Roman" w:hAnsi="Times New Roman"/>
                <w:b/>
                <w:bCs/>
                <w:color w:val="FFFFFF"/>
              </w:rPr>
              <w:object w:dxaOrig="169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33.25pt" o:ole="">
                  <v:imagedata r:id="rId8" o:title=""/>
                </v:shape>
                <o:OLEObject Type="Embed" ProgID="PBrush" ShapeID="_x0000_i1025" DrawAspect="Content" ObjectID="_1545563818" r:id="rId9"/>
              </w:object>
            </w:r>
            <w:r w:rsidRPr="00E340C3">
              <w:rPr>
                <w:rFonts w:ascii="Times New Roman" w:eastAsia="Times New Roman" w:hAnsi="Times New Roman"/>
                <w:b/>
                <w:bCs/>
                <w:color w:val="FFFFFF"/>
              </w:rPr>
              <w:t xml:space="preserve">    </w:t>
            </w:r>
            <w:r w:rsidR="00E63510">
              <w:rPr>
                <w:rFonts w:ascii="Times New Roman" w:eastAsia="Times New Roman" w:hAnsi="Times New Roman"/>
                <w:b/>
                <w:bCs/>
                <w:color w:val="FFFFFF"/>
              </w:rPr>
              <w:t xml:space="preserve">                          </w:t>
            </w:r>
            <w:r w:rsidRPr="00E340C3">
              <w:rPr>
                <w:rFonts w:ascii="Times New Roman" w:eastAsia="Times New Roman" w:hAnsi="Times New Roman"/>
                <w:b/>
                <w:bCs/>
                <w:color w:val="FFFFFF"/>
              </w:rPr>
              <w:t xml:space="preserve">   </w:t>
            </w:r>
            <w:r w:rsidRPr="00E63510">
              <w:rPr>
                <w:rFonts w:ascii="Times New Roman" w:eastAsia="Times New Roman" w:hAnsi="Times New Roman"/>
                <w:b/>
                <w:bCs/>
                <w:color w:val="FFFFFF"/>
                <w:sz w:val="26"/>
                <w:szCs w:val="26"/>
              </w:rPr>
              <w:t>VĂN BẢN PHÁP LUẬT LĨNH VỰC THUẾ</w:t>
            </w:r>
          </w:p>
        </w:tc>
      </w:tr>
      <w:tr w:rsidR="00520C7F" w:rsidRPr="00E340C3" w:rsidTr="008314D1">
        <w:tc>
          <w:tcPr>
            <w:tcW w:w="3263" w:type="dxa"/>
            <w:shd w:val="clear" w:color="auto" w:fill="92D050"/>
          </w:tcPr>
          <w:p w:rsidR="00520C7F" w:rsidRPr="00E63510" w:rsidRDefault="00520C7F" w:rsidP="00E63510">
            <w:pPr>
              <w:jc w:val="right"/>
              <w:rPr>
                <w:rFonts w:ascii="Times New Roman" w:hAnsi="Times New Roman"/>
                <w:color w:val="FFFFFF" w:themeColor="background1"/>
                <w:sz w:val="24"/>
                <w:szCs w:val="24"/>
              </w:rPr>
            </w:pPr>
            <w:r w:rsidRPr="00E63510">
              <w:rPr>
                <w:rFonts w:ascii="Times New Roman" w:hAnsi="Times New Roman"/>
                <w:color w:val="FFFFFF" w:themeColor="background1"/>
                <w:sz w:val="24"/>
                <w:szCs w:val="24"/>
              </w:rPr>
              <w:t>Công văn 27/TCT-KK</w:t>
            </w:r>
          </w:p>
          <w:p w:rsidR="00520C7F" w:rsidRPr="00E63510" w:rsidRDefault="00520C7F" w:rsidP="00E63510">
            <w:pPr>
              <w:jc w:val="right"/>
              <w:rPr>
                <w:rFonts w:ascii="Times New Roman" w:hAnsi="Times New Roman"/>
                <w:color w:val="FFFFFF" w:themeColor="background1"/>
                <w:sz w:val="24"/>
                <w:szCs w:val="24"/>
              </w:rPr>
            </w:pPr>
            <w:r w:rsidRPr="00E63510">
              <w:rPr>
                <w:rFonts w:ascii="Times New Roman" w:hAnsi="Times New Roman"/>
                <w:color w:val="FFFFFF" w:themeColor="background1"/>
                <w:sz w:val="24"/>
                <w:szCs w:val="24"/>
              </w:rPr>
              <w:t>Ngày 05/01/2017</w:t>
            </w:r>
          </w:p>
          <w:p w:rsidR="00520C7F" w:rsidRPr="00E63510" w:rsidRDefault="00520C7F" w:rsidP="00E63510">
            <w:pPr>
              <w:jc w:val="right"/>
              <w:rPr>
                <w:rFonts w:ascii="Times New Roman" w:hAnsi="Times New Roman"/>
                <w:color w:val="FFFFFF" w:themeColor="background1"/>
                <w:sz w:val="24"/>
                <w:szCs w:val="24"/>
              </w:rPr>
            </w:pPr>
            <w:r w:rsidRPr="00E63510">
              <w:rPr>
                <w:rFonts w:ascii="Times New Roman" w:hAnsi="Times New Roman"/>
                <w:color w:val="FFFFFF" w:themeColor="background1"/>
                <w:sz w:val="24"/>
                <w:szCs w:val="24"/>
              </w:rPr>
              <w:t>Bởi Tổng cục thuế</w:t>
            </w:r>
          </w:p>
        </w:tc>
        <w:tc>
          <w:tcPr>
            <w:tcW w:w="6743" w:type="dxa"/>
            <w:gridSpan w:val="2"/>
            <w:shd w:val="clear" w:color="auto" w:fill="auto"/>
          </w:tcPr>
          <w:p w:rsidR="00520C7F" w:rsidRPr="00E63510" w:rsidRDefault="00520C7F" w:rsidP="00E63510">
            <w:pPr>
              <w:rPr>
                <w:rFonts w:ascii="Times New Roman" w:hAnsi="Times New Roman"/>
                <w:color w:val="000000" w:themeColor="text1"/>
                <w:sz w:val="24"/>
                <w:szCs w:val="24"/>
              </w:rPr>
            </w:pPr>
            <w:r w:rsidRPr="00E63510">
              <w:rPr>
                <w:rFonts w:ascii="Times New Roman" w:hAnsi="Times New Roman"/>
                <w:color w:val="000000" w:themeColor="text1"/>
                <w:sz w:val="24"/>
                <w:szCs w:val="24"/>
              </w:rPr>
              <w:t xml:space="preserve">Về </w:t>
            </w:r>
            <w:r w:rsidR="00E63510" w:rsidRPr="00E63510">
              <w:rPr>
                <w:rFonts w:ascii="Times New Roman" w:hAnsi="Times New Roman"/>
                <w:color w:val="000000" w:themeColor="text1"/>
                <w:sz w:val="24"/>
                <w:szCs w:val="24"/>
              </w:rPr>
              <w:t>hướng dẫn hạch toán lệ phí môn bài</w:t>
            </w:r>
          </w:p>
        </w:tc>
      </w:tr>
    </w:tbl>
    <w:p w:rsidR="00520C7F" w:rsidRPr="00503813" w:rsidRDefault="00520C7F" w:rsidP="00520C7F">
      <w:pPr>
        <w:jc w:val="both"/>
        <w:rPr>
          <w:rFonts w:ascii="Times New Roman" w:hAnsi="Times New Roman"/>
          <w:b/>
          <w:color w:val="993366"/>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766"/>
      </w:tblGrid>
      <w:tr w:rsidR="00520C7F" w:rsidRPr="00E340C3" w:rsidTr="008314D1">
        <w:tc>
          <w:tcPr>
            <w:tcW w:w="10006" w:type="dxa"/>
            <w:gridSpan w:val="2"/>
            <w:shd w:val="clear" w:color="auto" w:fill="C00000"/>
            <w:vAlign w:val="center"/>
          </w:tcPr>
          <w:p w:rsidR="00520C7F" w:rsidRPr="00E63510" w:rsidRDefault="00520C7F" w:rsidP="008314D1">
            <w:pPr>
              <w:rPr>
                <w:rFonts w:ascii="Times New Roman" w:hAnsi="Times New Roman"/>
                <w:b/>
                <w:bCs/>
                <w:color w:val="FFFFFF"/>
                <w:sz w:val="26"/>
                <w:szCs w:val="26"/>
              </w:rPr>
            </w:pPr>
            <w:r w:rsidRPr="00E63510">
              <w:rPr>
                <w:rFonts w:ascii="Times New Roman" w:hAnsi="Times New Roman"/>
                <w:b/>
                <w:bCs/>
                <w:noProof/>
                <w:color w:val="FFFFFF"/>
                <w:sz w:val="26"/>
                <w:szCs w:val="26"/>
                <w:lang w:val="en-US"/>
              </w:rPr>
              <w:drawing>
                <wp:anchor distT="0" distB="0" distL="114300" distR="114300" simplePos="0" relativeHeight="251659264" behindDoc="0" locked="0" layoutInCell="1" allowOverlap="1" wp14:anchorId="079244CB" wp14:editId="1165C8BC">
                  <wp:simplePos x="0" y="0"/>
                  <wp:positionH relativeFrom="column">
                    <wp:posOffset>-73660</wp:posOffset>
                  </wp:positionH>
                  <wp:positionV relativeFrom="paragraph">
                    <wp:posOffset>-2540</wp:posOffset>
                  </wp:positionV>
                  <wp:extent cx="414655" cy="35877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510">
              <w:rPr>
                <w:rFonts w:ascii="Times New Roman" w:hAnsi="Times New Roman"/>
                <w:b/>
                <w:bCs/>
                <w:color w:val="FFFFFF"/>
                <w:sz w:val="26"/>
                <w:szCs w:val="26"/>
              </w:rPr>
              <w:t xml:space="preserve">                         </w:t>
            </w:r>
            <w:r w:rsidR="00E63510">
              <w:rPr>
                <w:rFonts w:ascii="Times New Roman" w:hAnsi="Times New Roman"/>
                <w:b/>
                <w:bCs/>
                <w:color w:val="FFFFFF"/>
                <w:sz w:val="26"/>
                <w:szCs w:val="26"/>
              </w:rPr>
              <w:t xml:space="preserve">                       </w:t>
            </w:r>
            <w:r w:rsidRPr="00E63510">
              <w:rPr>
                <w:rFonts w:ascii="Times New Roman" w:hAnsi="Times New Roman"/>
                <w:b/>
                <w:bCs/>
                <w:color w:val="FFFFFF"/>
                <w:sz w:val="26"/>
                <w:szCs w:val="26"/>
              </w:rPr>
              <w:t xml:space="preserve"> NHỮNG VẤN ĐỀ CẦN LƯU Ý</w:t>
            </w:r>
          </w:p>
          <w:p w:rsidR="00520C7F" w:rsidRPr="00E340C3" w:rsidRDefault="00520C7F" w:rsidP="008314D1">
            <w:pPr>
              <w:rPr>
                <w:rFonts w:ascii="Times New Roman" w:hAnsi="Times New Roman"/>
                <w:b/>
                <w:bCs/>
                <w:color w:val="FFFFFF"/>
                <w:sz w:val="24"/>
                <w:szCs w:val="24"/>
              </w:rPr>
            </w:pPr>
          </w:p>
        </w:tc>
      </w:tr>
      <w:tr w:rsidR="00520C7F" w:rsidRPr="00E340C3" w:rsidTr="008314D1">
        <w:tc>
          <w:tcPr>
            <w:tcW w:w="3240" w:type="dxa"/>
            <w:shd w:val="clear" w:color="auto" w:fill="92D050"/>
          </w:tcPr>
          <w:p w:rsidR="00520C7F" w:rsidRPr="00336435" w:rsidRDefault="00520C7F" w:rsidP="00336435">
            <w:pPr>
              <w:jc w:val="right"/>
              <w:rPr>
                <w:rFonts w:ascii="Times New Roman" w:hAnsi="Times New Roman"/>
                <w:b/>
                <w:color w:val="FFFFFF" w:themeColor="background1"/>
                <w:sz w:val="24"/>
                <w:szCs w:val="24"/>
              </w:rPr>
            </w:pPr>
            <w:r w:rsidRPr="00336435">
              <w:rPr>
                <w:rFonts w:ascii="Times New Roman" w:hAnsi="Times New Roman"/>
                <w:b/>
                <w:color w:val="FFFFFF" w:themeColor="background1"/>
                <w:sz w:val="24"/>
                <w:szCs w:val="24"/>
              </w:rPr>
              <w:t>Công văn 27/TCT-KK</w:t>
            </w:r>
          </w:p>
          <w:p w:rsidR="00520C7F" w:rsidRPr="00336435" w:rsidRDefault="00520C7F" w:rsidP="00336435">
            <w:pPr>
              <w:jc w:val="right"/>
              <w:rPr>
                <w:rFonts w:ascii="Times New Roman" w:hAnsi="Times New Roman"/>
                <w:b/>
                <w:color w:val="FFFFFF" w:themeColor="background1"/>
                <w:sz w:val="24"/>
                <w:szCs w:val="24"/>
              </w:rPr>
            </w:pPr>
            <w:r w:rsidRPr="00336435">
              <w:rPr>
                <w:rFonts w:ascii="Times New Roman" w:hAnsi="Times New Roman"/>
                <w:b/>
                <w:color w:val="FFFFFF" w:themeColor="background1"/>
                <w:sz w:val="24"/>
                <w:szCs w:val="24"/>
              </w:rPr>
              <w:t>Ngày 05/01/2017</w:t>
            </w:r>
          </w:p>
          <w:p w:rsidR="00520C7F" w:rsidRPr="00336435" w:rsidRDefault="00520C7F" w:rsidP="00B40342">
            <w:pPr>
              <w:rPr>
                <w:rFonts w:ascii="Times New Roman" w:hAnsi="Times New Roman"/>
                <w:b/>
                <w:color w:val="FFFFFF" w:themeColor="background1"/>
                <w:sz w:val="24"/>
                <w:szCs w:val="24"/>
              </w:rPr>
            </w:pPr>
            <w:r w:rsidRPr="00336435">
              <w:rPr>
                <w:rFonts w:ascii="Times New Roman" w:hAnsi="Times New Roman"/>
                <w:b/>
                <w:color w:val="FFFFFF" w:themeColor="background1"/>
                <w:sz w:val="24"/>
                <w:szCs w:val="24"/>
              </w:rPr>
              <w:t xml:space="preserve">Về HƯỚNG DẤN </w:t>
            </w:r>
            <w:bookmarkStart w:id="0" w:name="_GoBack"/>
            <w:bookmarkEnd w:id="0"/>
            <w:r w:rsidRPr="00336435">
              <w:rPr>
                <w:rFonts w:ascii="Times New Roman" w:hAnsi="Times New Roman"/>
                <w:b/>
                <w:color w:val="FFFFFF" w:themeColor="background1"/>
                <w:sz w:val="24"/>
                <w:szCs w:val="24"/>
              </w:rPr>
              <w:t>HẠCH TOÁN LỆ PHÍ MÔN BÀI</w:t>
            </w:r>
          </w:p>
          <w:p w:rsidR="00520C7F" w:rsidRPr="00E63510" w:rsidRDefault="00520C7F" w:rsidP="00E63510">
            <w:pPr>
              <w:rPr>
                <w:rFonts w:ascii="Times New Roman" w:hAnsi="Times New Roman"/>
                <w:sz w:val="24"/>
                <w:szCs w:val="24"/>
              </w:rPr>
            </w:pPr>
          </w:p>
        </w:tc>
        <w:tc>
          <w:tcPr>
            <w:tcW w:w="6766" w:type="dxa"/>
            <w:shd w:val="clear" w:color="auto" w:fill="auto"/>
          </w:tcPr>
          <w:p w:rsidR="00520C7F" w:rsidRPr="00E63510" w:rsidRDefault="00520C7F" w:rsidP="00E63510">
            <w:pPr>
              <w:jc w:val="both"/>
              <w:rPr>
                <w:rFonts w:ascii="Times New Roman" w:hAnsi="Times New Roman"/>
                <w:b/>
                <w:sz w:val="24"/>
                <w:szCs w:val="24"/>
              </w:rPr>
            </w:pPr>
            <w:r w:rsidRPr="00E63510">
              <w:rPr>
                <w:rFonts w:ascii="Times New Roman" w:hAnsi="Times New Roman"/>
                <w:b/>
                <w:sz w:val="24"/>
                <w:szCs w:val="24"/>
              </w:rPr>
              <w:t>1. Hạch toán nghĩa vụ và khoản nộp lệ phí môn bài năm 2017 vào NSNN</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Thông tin tiểu mục hạch toán đối với nghĩa vụ phát sinh và khoản nộp lệ phí môn bài năm 2017 thực hiện theo quy định mới tại Thông tư số </w:t>
            </w:r>
            <w:hyperlink r:id="rId11" w:tgtFrame="_blank" w:history="1">
              <w:r w:rsidRPr="00E63510">
                <w:rPr>
                  <w:rStyle w:val="Hyperlink"/>
                  <w:rFonts w:ascii="Times New Roman" w:hAnsi="Times New Roman"/>
                  <w:sz w:val="24"/>
                  <w:szCs w:val="24"/>
                </w:rPr>
                <w:t>300/2016/TT-BTC</w:t>
              </w:r>
            </w:hyperlink>
            <w:r w:rsidRPr="00E63510">
              <w:rPr>
                <w:rFonts w:ascii="Times New Roman" w:hAnsi="Times New Roman"/>
                <w:sz w:val="24"/>
                <w:szCs w:val="24"/>
              </w:rPr>
              <w:t> như sau:</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Lệ phí môn bài mức (bậc) 1 đối với tổ chức hoạt động sản xuất kinh doanh và cá nhân, nhóm cá nhân, hộ gia đình: Hạch toán tiểu mục 2862.</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Lệ phí môn bài mức (bậc) 2 đối với tổ chức hoạt động sản xuất kinh doanh và cá nhân, nhóm cá nhân, hộ gia đình: Hạch toán tiểu mục 2863.</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Lệ phí môn bài mức (bậc) 3 đối với tổ chức hoạt động sản xuất kinh doanh và cá nhân, nhóm cá nhân, hộ gia đình: Hạch toán tiểu mục 2864.</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Thông tin chương hạch toán là theo chương của người nộp thuế.</w:t>
            </w:r>
          </w:p>
          <w:p w:rsidR="00520C7F" w:rsidRPr="00E63510" w:rsidRDefault="00520C7F" w:rsidP="00E63510">
            <w:pPr>
              <w:jc w:val="both"/>
              <w:rPr>
                <w:rFonts w:ascii="Times New Roman" w:hAnsi="Times New Roman"/>
                <w:b/>
                <w:sz w:val="24"/>
                <w:szCs w:val="24"/>
              </w:rPr>
            </w:pPr>
            <w:r w:rsidRPr="00E63510">
              <w:rPr>
                <w:rFonts w:ascii="Times New Roman" w:hAnsi="Times New Roman"/>
                <w:b/>
                <w:sz w:val="24"/>
                <w:szCs w:val="24"/>
              </w:rPr>
              <w:t>2. Hạch toán số nộp NSNN cho khoản nợ thuế môn bài phát sinh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Thông tin tiểu mục hạch toán đối với khoản nộp nợ thuế môn bài phát sinh từ năm 2016 trở về trước thực hiện theo quy định cũ tại Quyết định số </w:t>
            </w:r>
            <w:hyperlink r:id="rId12" w:tgtFrame="_blank" w:history="1">
              <w:r w:rsidRPr="00E63510">
                <w:rPr>
                  <w:rStyle w:val="Hyperlink"/>
                  <w:rFonts w:ascii="Times New Roman" w:hAnsi="Times New Roman"/>
                  <w:sz w:val="24"/>
                  <w:szCs w:val="24"/>
                </w:rPr>
                <w:t>33/2008/QĐ-BTC</w:t>
              </w:r>
            </w:hyperlink>
            <w:r w:rsidRPr="00E63510">
              <w:rPr>
                <w:rFonts w:ascii="Times New Roman" w:hAnsi="Times New Roman"/>
                <w:sz w:val="24"/>
                <w:szCs w:val="24"/>
              </w:rPr>
              <w:t> của Bộ Tài chính như sau:</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1: Hạch toán tiểu mục 1801;</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2: Hạch toán tiểu mục 1802;</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3: Hạch toán tiểu mục 1803;</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4: Hạch toán tiểu mục 1804;</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5: Hạch toán tiểu mục 1805;</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bậc 6: Hạch toán tiểu mục 1806;</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Thuế môn bài khác: Hạch toán tiểu mục 1849.</w:t>
            </w:r>
          </w:p>
          <w:p w:rsidR="00520C7F" w:rsidRPr="00E63510" w:rsidRDefault="00520C7F" w:rsidP="00E63510">
            <w:pPr>
              <w:jc w:val="both"/>
              <w:rPr>
                <w:rFonts w:ascii="Times New Roman" w:hAnsi="Times New Roman"/>
                <w:b/>
                <w:sz w:val="24"/>
                <w:szCs w:val="24"/>
              </w:rPr>
            </w:pPr>
            <w:bookmarkStart w:id="1" w:name="bookmark0"/>
            <w:r w:rsidRPr="00E63510">
              <w:rPr>
                <w:rFonts w:ascii="Times New Roman" w:hAnsi="Times New Roman"/>
                <w:b/>
                <w:sz w:val="24"/>
                <w:szCs w:val="24"/>
              </w:rPr>
              <w:t>3. Xử lý sai sót về chứng từ nộp lệ phí môn bài vào NSNN</w:t>
            </w:r>
            <w:bookmarkEnd w:id="1"/>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Trường hợp sai sót khi lập chứng từ nộp lệ phí môn bài vào NSNN, ghi nhận lệ phí môn bài năm 2017 theo tiểu mục cũ, cơ quan thuế lập Giấy đề nghị Điều chỉnh thu NSNN mẫu C1-07/NS gửi KBNN để Điều chỉnh sang tiểu mục mới, đảm bảo đúng nghĩa vụ của NNT.</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xml:space="preserve">Trường hợp sai sót khi lập chứng từ nộp lệ phí môn bài vào NSNN, ghi nhận khoản nộp cho nợ thuếmôn bài năm 2016 trở về trước theo tiểu mục mới dẫn đến sai nghĩa vụ của NNT, cơ quan thuế lập Giấy </w:t>
            </w:r>
            <w:r w:rsidRPr="00E63510">
              <w:rPr>
                <w:rFonts w:ascii="Times New Roman" w:hAnsi="Times New Roman"/>
                <w:sz w:val="24"/>
                <w:szCs w:val="24"/>
              </w:rPr>
              <w:lastRenderedPageBreak/>
              <w:t>đề nghị Điều chỉnh thu NSNN mẫu C1-07/NS gửi KBNN để Điều chỉnh sang tiểu mục cũ, đảm bảo trừ nợ đúng cho NNT.</w:t>
            </w:r>
          </w:p>
          <w:p w:rsidR="00520C7F" w:rsidRPr="00E63510" w:rsidRDefault="00520C7F" w:rsidP="00E63510">
            <w:pPr>
              <w:jc w:val="both"/>
              <w:rPr>
                <w:rFonts w:ascii="Times New Roman" w:hAnsi="Times New Roman"/>
                <w:b/>
                <w:sz w:val="24"/>
                <w:szCs w:val="24"/>
              </w:rPr>
            </w:pPr>
            <w:bookmarkStart w:id="2" w:name="bookmark1"/>
            <w:r w:rsidRPr="00E63510">
              <w:rPr>
                <w:rFonts w:ascii="Times New Roman" w:hAnsi="Times New Roman"/>
                <w:b/>
                <w:sz w:val="24"/>
                <w:szCs w:val="24"/>
              </w:rPr>
              <w:t>4. Nâng cấp ứng dụng hỗ trợ hạch toán nghĩa vụ và chứng từ nộp lệ phí môn bài năm 2017 theo tiểu mục mới</w:t>
            </w:r>
            <w:bookmarkEnd w:id="2"/>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Để đáp ứng yêu cầu về hạch toán nghĩa vụ và chứng từ nộp lệ phí môn bài năm 2017 theo tiểu mục mới ban hành theo Thông tư số </w:t>
            </w:r>
            <w:hyperlink r:id="rId13" w:tgtFrame="_blank" w:history="1">
              <w:r w:rsidRPr="00E63510">
                <w:rPr>
                  <w:rStyle w:val="Hyperlink"/>
                  <w:rFonts w:ascii="Times New Roman" w:hAnsi="Times New Roman"/>
                  <w:sz w:val="24"/>
                  <w:szCs w:val="24"/>
                </w:rPr>
                <w:t>300/2016/TT-BTC</w:t>
              </w:r>
            </w:hyperlink>
            <w:r w:rsidRPr="00E63510">
              <w:rPr>
                <w:rFonts w:ascii="Times New Roman" w:hAnsi="Times New Roman"/>
                <w:sz w:val="24"/>
                <w:szCs w:val="24"/>
              </w:rPr>
              <w:t> Tổng cục đã tiến hành nâng cấp các ứng dụng liên quan như sau:</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Ứng dụng TMS nâng cấp cho phép hạch toán nghĩa vụ và chứng từ nộp lệ phí môn bài năm 2017 theo tiểu mục mới.</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Ứng dụng Nộp thuế điện tử, E-tax nâng cấp bổ sung các tiểu mục mới vào danh mục nội dung kinh tế để NNT có thể chọn nộp cho các tiểu mục này như sau:</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Mục 2850: Lệ phí sản xuất kinh doanh (..., lệ phí môn bài từ 2017)</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2862: Lệ phí môn bài mức (bậc) 1;</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2863: Lệ phí môn bài mức (bậc) 2;</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2864: Lệ phí môn bài mức (bậc) 3.</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Ứng dụng Nộp thuế điện tử, E-tax nâng cấp cập nhật lại tên tiểu mục hạch toán thuế môn bài theo quy định cũ để tránh nhầm lẫn cho người nộp thuế như sau:</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Mục 1800: Thuế môn bài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1801: Thuế môn bài bậc 1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1802: Thuế môn bài bậc 2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1803: Thuế môn bài bậc 3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1804: Thuế môn bài bậc 4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1805: Thuế môn bài bậc 5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1806: Thuế môn bài bậc 6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Tiểu mục 1849: Thuế môn khác (Từ năm 2016 trở về trước).</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Tổng cục Thuế đã phối hợp với các T-VAN nâng cấp ứng dụng đáp ứng hạch toán lệ phí môn bài theo tiểu mục mới, đồng thời có thông báo gửi Ngân hàng thương mại phối hợp thu để đảm bảo hạch toán đúng tiểu mục khi thực hiện thu NSNN tại quầy.</w:t>
            </w:r>
          </w:p>
          <w:p w:rsidR="00520C7F" w:rsidRPr="00E63510" w:rsidRDefault="00520C7F" w:rsidP="00E63510">
            <w:pPr>
              <w:jc w:val="both"/>
              <w:rPr>
                <w:rFonts w:ascii="Times New Roman" w:hAnsi="Times New Roman"/>
                <w:sz w:val="24"/>
                <w:szCs w:val="24"/>
              </w:rPr>
            </w:pPr>
            <w:r w:rsidRPr="00E63510">
              <w:rPr>
                <w:rFonts w:ascii="Times New Roman" w:hAnsi="Times New Roman"/>
                <w:sz w:val="24"/>
                <w:szCs w:val="24"/>
              </w:rPr>
              <w:t>- Tổng cục Thuế đã phối hợp với KBNN thống nhất nội dung hướng dẫn các địa phương về phương pháp hạch toán lệ phí môn bài.</w:t>
            </w:r>
          </w:p>
        </w:tc>
      </w:tr>
    </w:tbl>
    <w:p w:rsidR="00520C7F" w:rsidRPr="00503813" w:rsidRDefault="00520C7F" w:rsidP="00520C7F">
      <w:pPr>
        <w:jc w:val="both"/>
        <w:rPr>
          <w:rFonts w:ascii="Times New Roman" w:hAnsi="Times New Roman"/>
          <w:b/>
          <w:bCs/>
          <w:color w:val="FFFFFF"/>
          <w:sz w:val="24"/>
          <w:szCs w:val="24"/>
        </w:rPr>
      </w:pPr>
    </w:p>
    <w:tbl>
      <w:tblPr>
        <w:tblW w:w="1131" w:type="dxa"/>
        <w:tblInd w:w="108" w:type="dxa"/>
        <w:shd w:val="clear" w:color="auto" w:fill="FFCC99"/>
        <w:tblLayout w:type="fixed"/>
        <w:tblLook w:val="01E0" w:firstRow="1" w:lastRow="1" w:firstColumn="1" w:lastColumn="1" w:noHBand="0" w:noVBand="0"/>
      </w:tblPr>
      <w:tblGrid>
        <w:gridCol w:w="720"/>
        <w:gridCol w:w="411"/>
      </w:tblGrid>
      <w:tr w:rsidR="00520C7F" w:rsidRPr="00503813" w:rsidTr="008314D1">
        <w:trPr>
          <w:trHeight w:val="423"/>
        </w:trPr>
        <w:tc>
          <w:tcPr>
            <w:tcW w:w="720" w:type="dxa"/>
            <w:shd w:val="clear" w:color="auto" w:fill="auto"/>
          </w:tcPr>
          <w:p w:rsidR="00520C7F" w:rsidRPr="00503813" w:rsidRDefault="00520C7F" w:rsidP="008314D1">
            <w:pPr>
              <w:spacing w:before="60" w:after="60"/>
              <w:jc w:val="both"/>
              <w:rPr>
                <w:rFonts w:ascii="Times New Roman" w:hAnsi="Times New Roman"/>
                <w:b/>
                <w:color w:val="FFFFFF"/>
                <w:sz w:val="24"/>
                <w:szCs w:val="24"/>
                <w:lang w:val="en-US"/>
              </w:rPr>
            </w:pPr>
            <w:bookmarkStart w:id="3" w:name="_Toc352157164"/>
            <w:bookmarkStart w:id="4" w:name="_Toc352157259"/>
            <w:bookmarkStart w:id="5" w:name="_Toc352157460"/>
            <w:bookmarkStart w:id="6" w:name="_Toc374309553"/>
            <w:bookmarkStart w:id="7" w:name="_Toc352157166"/>
            <w:bookmarkStart w:id="8" w:name="_Toc352157261"/>
            <w:bookmarkStart w:id="9" w:name="_Toc352157462"/>
            <w:bookmarkStart w:id="10" w:name="_Toc374309555"/>
            <w:bookmarkStart w:id="11" w:name="_Toc376089583"/>
            <w:bookmarkStart w:id="12" w:name="_Toc376089664"/>
            <w:bookmarkStart w:id="13" w:name="_Toc376089715"/>
            <w:bookmarkStart w:id="14" w:name="_Toc376089729"/>
            <w:bookmarkStart w:id="15" w:name="_Toc376091359"/>
            <w:bookmarkStart w:id="16" w:name="_Toc376091837"/>
            <w:bookmarkEnd w:id="3"/>
            <w:bookmarkEnd w:id="4"/>
            <w:bookmarkEnd w:id="5"/>
            <w:bookmarkEnd w:id="6"/>
            <w:bookmarkEnd w:id="7"/>
            <w:bookmarkEnd w:id="8"/>
            <w:bookmarkEnd w:id="9"/>
            <w:bookmarkEnd w:id="10"/>
            <w:bookmarkEnd w:id="11"/>
            <w:bookmarkEnd w:id="12"/>
            <w:bookmarkEnd w:id="13"/>
            <w:bookmarkEnd w:id="14"/>
            <w:bookmarkEnd w:id="15"/>
            <w:bookmarkEnd w:id="16"/>
          </w:p>
        </w:tc>
        <w:tc>
          <w:tcPr>
            <w:tcW w:w="411" w:type="dxa"/>
          </w:tcPr>
          <w:p w:rsidR="00520C7F" w:rsidRPr="00503813" w:rsidRDefault="00520C7F" w:rsidP="008314D1">
            <w:pPr>
              <w:jc w:val="both"/>
              <w:rPr>
                <w:rFonts w:ascii="Times New Roman" w:hAnsi="Times New Roman"/>
                <w:b/>
                <w:color w:val="FFFFFF"/>
                <w:sz w:val="24"/>
                <w:szCs w:val="24"/>
                <w:lang w:val="en-US"/>
              </w:rPr>
            </w:pPr>
          </w:p>
          <w:p w:rsidR="00520C7F" w:rsidRPr="00503813" w:rsidRDefault="00520C7F" w:rsidP="008314D1">
            <w:pPr>
              <w:jc w:val="both"/>
              <w:rPr>
                <w:rFonts w:ascii="Times New Roman" w:hAnsi="Times New Roman"/>
                <w:b/>
                <w:color w:val="FFFFFF"/>
                <w:sz w:val="24"/>
                <w:szCs w:val="24"/>
                <w:lang w:val="en-US"/>
              </w:rPr>
            </w:pPr>
          </w:p>
        </w:tc>
      </w:tr>
    </w:tbl>
    <w:p w:rsidR="00520C7F" w:rsidRPr="00503813" w:rsidRDefault="00520C7F" w:rsidP="00520C7F">
      <w:pPr>
        <w:pStyle w:val="NormalWeb"/>
        <w:tabs>
          <w:tab w:val="left" w:pos="8798"/>
        </w:tabs>
        <w:spacing w:before="0" w:beforeAutospacing="0" w:after="0" w:afterAutospacing="0"/>
        <w:jc w:val="both"/>
      </w:pPr>
      <w:r>
        <w:tab/>
      </w:r>
    </w:p>
    <w:p w:rsidR="00FF7B5E" w:rsidRDefault="00FF7B5E"/>
    <w:sectPr w:rsidR="00FF7B5E" w:rsidSect="00520C7F">
      <w:headerReference w:type="even" r:id="rId14"/>
      <w:footerReference w:type="even" r:id="rId15"/>
      <w:footerReference w:type="default" r:id="rId16"/>
      <w:headerReference w:type="first" r:id="rId17"/>
      <w:footerReference w:type="first" r:id="rId18"/>
      <w:pgSz w:w="12240" w:h="15840" w:code="1"/>
      <w:pgMar w:top="990" w:right="902" w:bottom="1350" w:left="1440" w:header="720" w:footer="119" w:gutter="0"/>
      <w:cols w:space="720" w:equalWidth="0">
        <w:col w:w="9898" w:space="540"/>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DC" w:rsidRDefault="000E06DC" w:rsidP="00520C7F">
      <w:r>
        <w:separator/>
      </w:r>
    </w:p>
  </w:endnote>
  <w:endnote w:type="continuationSeparator" w:id="0">
    <w:p w:rsidR="000E06DC" w:rsidRDefault="000E06DC" w:rsidP="0052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B0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C7F">
      <w:rPr>
        <w:rStyle w:val="PageNumber"/>
        <w:noProof/>
      </w:rPr>
      <w:t>2</w:t>
    </w:r>
    <w:r>
      <w:rPr>
        <w:rStyle w:val="PageNumber"/>
      </w:rPr>
      <w:fldChar w:fldCharType="end"/>
    </w:r>
  </w:p>
  <w:p w:rsidR="003643FF" w:rsidRDefault="000E0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7F" w:rsidRDefault="00520C7F" w:rsidP="00520C7F">
    <w:pPr>
      <w:pStyle w:val="Footer"/>
      <w:tabs>
        <w:tab w:val="clear" w:pos="4320"/>
        <w:tab w:val="clear" w:pos="8640"/>
        <w:tab w:val="left" w:pos="791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66"/>
    </w:tblGrid>
    <w:tr w:rsidR="001752E9" w:rsidTr="001752E9">
      <w:tc>
        <w:tcPr>
          <w:tcW w:w="918" w:type="dxa"/>
        </w:tcPr>
        <w:p w:rsidR="001752E9" w:rsidRPr="001752E9" w:rsidRDefault="00B031AA">
          <w:pPr>
            <w:pStyle w:val="Footer"/>
            <w:jc w:val="right"/>
            <w:rPr>
              <w:b/>
              <w:bCs/>
              <w:color w:val="4F81BD"/>
              <w:sz w:val="32"/>
              <w:szCs w:val="32"/>
            </w:rPr>
          </w:pPr>
          <w:r w:rsidRPr="001752E9">
            <w:rPr>
              <w:sz w:val="22"/>
              <w:szCs w:val="22"/>
            </w:rPr>
            <w:fldChar w:fldCharType="begin"/>
          </w:r>
          <w:r w:rsidRPr="001752E9">
            <w:instrText xml:space="preserve"> PAGE   \* MERGEFORMAT </w:instrText>
          </w:r>
          <w:r w:rsidRPr="001752E9">
            <w:rPr>
              <w:sz w:val="22"/>
              <w:szCs w:val="22"/>
            </w:rPr>
            <w:fldChar w:fldCharType="separate"/>
          </w:r>
          <w:r w:rsidR="00B40342" w:rsidRPr="00B40342">
            <w:rPr>
              <w:b/>
              <w:bCs/>
              <w:noProof/>
              <w:color w:val="4F81BD"/>
              <w:sz w:val="32"/>
              <w:szCs w:val="32"/>
            </w:rPr>
            <w:t>1</w:t>
          </w:r>
          <w:r w:rsidRPr="001752E9">
            <w:rPr>
              <w:b/>
              <w:bCs/>
              <w:noProof/>
              <w:color w:val="4F81BD"/>
              <w:sz w:val="32"/>
              <w:szCs w:val="32"/>
            </w:rPr>
            <w:fldChar w:fldCharType="end"/>
          </w:r>
        </w:p>
      </w:tc>
      <w:tc>
        <w:tcPr>
          <w:tcW w:w="7938" w:type="dxa"/>
        </w:tcPr>
        <w:p w:rsidR="001752E9" w:rsidRDefault="00B031AA">
          <w:pPr>
            <w:pStyle w:val="Footer"/>
          </w:pPr>
          <w:r w:rsidRPr="006925C5">
            <w:rPr>
              <w:rFonts w:ascii="Arial" w:hAnsi="Arial" w:cs="Arial"/>
              <w:noProof/>
              <w:sz w:val="16"/>
              <w:szCs w:val="16"/>
            </w:rPr>
            <w:t xml:space="preserve">Bản tin này do Công ty cổ phần Tài Việt cung cấp và chỉ nhằm mục </w:t>
          </w:r>
          <w:r>
            <w:rPr>
              <w:rFonts w:ascii="Arial" w:hAnsi="Arial" w:cs="Arial"/>
              <w:noProof/>
              <w:sz w:val="16"/>
              <w:szCs w:val="16"/>
            </w:rPr>
            <w:t>đích tham khảo.</w:t>
          </w:r>
          <w:r w:rsidRPr="006925C5">
            <w:rPr>
              <w:rFonts w:ascii="Arial" w:hAnsi="Arial" w:cs="Arial"/>
              <w:noProof/>
              <w:sz w:val="16"/>
              <w:szCs w:val="16"/>
            </w:rPr>
            <w:t xml:space="preserve"> Bản tin được xây dựng dựa trên những nguồn thông tin đáng tin cậy mà Tài Việt thu thập được. Tài Việt không chịu trách nhiệm với bất kỳ tổn thất hay thiệt hại nào liên quan đến việc sử dụng những thông tin được cung cấp từ bản tin này. </w:t>
          </w:r>
          <w:r w:rsidRPr="00AF55E2">
            <w:rPr>
              <w:rFonts w:ascii="Arial" w:hAnsi="Arial" w:cs="Arial" w:hint="eastAsia"/>
              <w:noProof/>
              <w:sz w:val="16"/>
              <w:szCs w:val="16"/>
            </w:rPr>
            <w:t>Đ</w:t>
          </w:r>
          <w:r w:rsidRPr="00AF55E2">
            <w:rPr>
              <w:rFonts w:ascii="Arial" w:hAnsi="Arial" w:cs="Arial"/>
              <w:noProof/>
              <w:sz w:val="16"/>
              <w:szCs w:val="16"/>
            </w:rPr>
            <w:t>ể</w:t>
          </w:r>
          <w:r>
            <w:rPr>
              <w:rFonts w:ascii="Arial" w:hAnsi="Arial" w:cs="Arial"/>
              <w:noProof/>
              <w:sz w:val="16"/>
              <w:szCs w:val="16"/>
            </w:rPr>
            <w:t xml:space="preserve"> bi</w:t>
          </w:r>
          <w:r w:rsidRPr="00AF55E2">
            <w:rPr>
              <w:rFonts w:ascii="Arial" w:hAnsi="Arial" w:cs="Arial"/>
              <w:noProof/>
              <w:sz w:val="16"/>
              <w:szCs w:val="16"/>
            </w:rPr>
            <w:t>ế</w:t>
          </w:r>
          <w:r>
            <w:rPr>
              <w:rFonts w:ascii="Arial" w:hAnsi="Arial" w:cs="Arial"/>
              <w:noProof/>
              <w:sz w:val="16"/>
              <w:szCs w:val="16"/>
            </w:rPr>
            <w:t>t th</w:t>
          </w:r>
          <w:r w:rsidRPr="00AF55E2">
            <w:rPr>
              <w:rFonts w:ascii="Arial" w:hAnsi="Arial" w:cs="Arial"/>
              <w:noProof/>
              <w:sz w:val="16"/>
              <w:szCs w:val="16"/>
            </w:rPr>
            <w:t>ê</w:t>
          </w:r>
          <w:r>
            <w:rPr>
              <w:rFonts w:ascii="Arial" w:hAnsi="Arial" w:cs="Arial"/>
              <w:noProof/>
              <w:sz w:val="16"/>
              <w:szCs w:val="16"/>
            </w:rPr>
            <w:t>m chi ti</w:t>
          </w:r>
          <w:r w:rsidRPr="00AF55E2">
            <w:rPr>
              <w:rFonts w:ascii="Arial" w:hAnsi="Arial" w:cs="Arial"/>
              <w:noProof/>
              <w:sz w:val="16"/>
              <w:szCs w:val="16"/>
            </w:rPr>
            <w:t>ết</w:t>
          </w:r>
          <w:r>
            <w:rPr>
              <w:rFonts w:ascii="Arial" w:hAnsi="Arial" w:cs="Arial"/>
              <w:noProof/>
              <w:sz w:val="16"/>
              <w:szCs w:val="16"/>
            </w:rPr>
            <w:t xml:space="preserve">, </w:t>
          </w:r>
          <w:r>
            <w:rPr>
              <w:rFonts w:ascii="Arial" w:hAnsi="Arial" w:cs="Arial" w:hint="eastAsia"/>
              <w:noProof/>
              <w:sz w:val="16"/>
              <w:szCs w:val="16"/>
            </w:rPr>
            <w:t>Qu</w:t>
          </w:r>
          <w:r w:rsidRPr="006925C5">
            <w:rPr>
              <w:rFonts w:ascii="Arial" w:hAnsi="Arial" w:cs="Arial"/>
              <w:noProof/>
              <w:sz w:val="16"/>
              <w:szCs w:val="16"/>
            </w:rPr>
            <w:t>ý</w:t>
          </w:r>
          <w:r>
            <w:rPr>
              <w:rFonts w:ascii="Arial" w:hAnsi="Arial" w:cs="Arial"/>
              <w:noProof/>
              <w:sz w:val="16"/>
              <w:szCs w:val="16"/>
            </w:rPr>
            <w:t xml:space="preserve"> </w:t>
          </w:r>
          <w:r w:rsidRPr="006925C5">
            <w:rPr>
              <w:rFonts w:ascii="Arial" w:hAnsi="Arial" w:cs="Arial" w:hint="eastAsia"/>
              <w:noProof/>
              <w:sz w:val="16"/>
              <w:szCs w:val="16"/>
            </w:rPr>
            <w:t>đ</w:t>
          </w:r>
          <w:r w:rsidRPr="006925C5">
            <w:rPr>
              <w:rFonts w:ascii="Arial" w:hAnsi="Arial" w:cs="Arial"/>
              <w:noProof/>
              <w:sz w:val="16"/>
              <w:szCs w:val="16"/>
            </w:rPr>
            <w:t>ộc</w:t>
          </w:r>
          <w:r>
            <w:rPr>
              <w:rFonts w:ascii="Arial" w:hAnsi="Arial" w:cs="Arial"/>
              <w:noProof/>
              <w:sz w:val="16"/>
              <w:szCs w:val="16"/>
            </w:rPr>
            <w:t xml:space="preserve"> gi</w:t>
          </w:r>
          <w:r w:rsidRPr="006925C5">
            <w:rPr>
              <w:rFonts w:ascii="Arial" w:hAnsi="Arial" w:cs="Arial"/>
              <w:noProof/>
              <w:sz w:val="16"/>
              <w:szCs w:val="16"/>
            </w:rPr>
            <w:t>ả</w:t>
          </w:r>
          <w:r>
            <w:rPr>
              <w:rFonts w:ascii="Arial" w:hAnsi="Arial" w:cs="Arial"/>
              <w:noProof/>
              <w:sz w:val="16"/>
              <w:szCs w:val="16"/>
            </w:rPr>
            <w:t xml:space="preserve"> vui l</w:t>
          </w:r>
          <w:r w:rsidRPr="006925C5">
            <w:rPr>
              <w:rFonts w:ascii="Arial" w:hAnsi="Arial" w:cs="Arial"/>
              <w:noProof/>
              <w:sz w:val="16"/>
              <w:szCs w:val="16"/>
            </w:rPr>
            <w:t>òng</w:t>
          </w:r>
          <w:r>
            <w:rPr>
              <w:rFonts w:ascii="Arial" w:hAnsi="Arial" w:cs="Arial"/>
              <w:noProof/>
              <w:sz w:val="16"/>
              <w:szCs w:val="16"/>
            </w:rPr>
            <w:t xml:space="preserve"> li</w:t>
          </w:r>
          <w:r w:rsidRPr="006925C5">
            <w:rPr>
              <w:rFonts w:ascii="Arial" w:hAnsi="Arial" w:cs="Arial"/>
              <w:noProof/>
              <w:sz w:val="16"/>
              <w:szCs w:val="16"/>
            </w:rPr>
            <w:t>ê</w:t>
          </w:r>
          <w:r>
            <w:rPr>
              <w:rFonts w:ascii="Arial" w:hAnsi="Arial" w:cs="Arial"/>
              <w:noProof/>
              <w:sz w:val="16"/>
              <w:szCs w:val="16"/>
            </w:rPr>
            <w:t>n h</w:t>
          </w:r>
          <w:r w:rsidRPr="006925C5">
            <w:rPr>
              <w:rFonts w:ascii="Arial" w:hAnsi="Arial" w:cs="Arial"/>
              <w:noProof/>
              <w:sz w:val="16"/>
              <w:szCs w:val="16"/>
            </w:rPr>
            <w:t>ệ</w:t>
          </w:r>
          <w:r>
            <w:rPr>
              <w:rFonts w:ascii="Arial" w:hAnsi="Arial" w:cs="Arial"/>
              <w:noProof/>
              <w:sz w:val="16"/>
              <w:szCs w:val="16"/>
            </w:rPr>
            <w:t xml:space="preserve"> </w:t>
          </w:r>
          <w:r w:rsidRPr="006925C5">
            <w:rPr>
              <w:rFonts w:ascii="Arial" w:hAnsi="Arial" w:cs="Arial" w:hint="eastAsia"/>
              <w:noProof/>
              <w:sz w:val="16"/>
              <w:szCs w:val="16"/>
            </w:rPr>
            <w:t>đư</w:t>
          </w:r>
          <w:r w:rsidRPr="006925C5">
            <w:rPr>
              <w:rFonts w:ascii="Arial" w:hAnsi="Arial" w:cs="Arial"/>
              <w:noProof/>
              <w:sz w:val="16"/>
              <w:szCs w:val="16"/>
            </w:rPr>
            <w:t>ờng</w:t>
          </w:r>
          <w:r>
            <w:rPr>
              <w:rFonts w:ascii="Arial" w:hAnsi="Arial" w:cs="Arial"/>
              <w:noProof/>
              <w:sz w:val="16"/>
              <w:szCs w:val="16"/>
            </w:rPr>
            <w:t xml:space="preserve"> d</w:t>
          </w:r>
          <w:r w:rsidRPr="006925C5">
            <w:rPr>
              <w:rFonts w:ascii="Arial" w:hAnsi="Arial" w:cs="Arial"/>
              <w:noProof/>
              <w:sz w:val="16"/>
              <w:szCs w:val="16"/>
            </w:rPr>
            <w:t>â</w:t>
          </w:r>
          <w:r>
            <w:rPr>
              <w:rFonts w:ascii="Arial" w:hAnsi="Arial" w:cs="Arial"/>
              <w:noProof/>
              <w:sz w:val="16"/>
              <w:szCs w:val="16"/>
            </w:rPr>
            <w:t>y t</w:t>
          </w:r>
          <w:r w:rsidRPr="006925C5">
            <w:rPr>
              <w:rFonts w:ascii="Arial" w:hAnsi="Arial" w:cs="Arial" w:hint="eastAsia"/>
              <w:noProof/>
              <w:sz w:val="16"/>
              <w:szCs w:val="16"/>
            </w:rPr>
            <w:t>ư</w:t>
          </w:r>
          <w:r>
            <w:rPr>
              <w:rFonts w:ascii="Arial" w:hAnsi="Arial" w:cs="Arial"/>
              <w:noProof/>
              <w:sz w:val="16"/>
              <w:szCs w:val="16"/>
            </w:rPr>
            <w:t xml:space="preserve"> v</w:t>
          </w:r>
          <w:r w:rsidRPr="006925C5">
            <w:rPr>
              <w:rFonts w:ascii="Arial" w:hAnsi="Arial" w:cs="Arial"/>
              <w:noProof/>
              <w:sz w:val="16"/>
              <w:szCs w:val="16"/>
            </w:rPr>
            <w:t>ấn</w:t>
          </w:r>
          <w:r>
            <w:rPr>
              <w:rFonts w:ascii="Arial" w:hAnsi="Arial" w:cs="Arial"/>
              <w:noProof/>
              <w:sz w:val="16"/>
              <w:szCs w:val="16"/>
            </w:rPr>
            <w:t xml:space="preserve"> s</w:t>
          </w:r>
          <w:r w:rsidRPr="006925C5">
            <w:rPr>
              <w:rFonts w:ascii="Arial" w:hAnsi="Arial" w:cs="Arial"/>
              <w:noProof/>
              <w:sz w:val="16"/>
              <w:szCs w:val="16"/>
            </w:rPr>
            <w:t>ố</w:t>
          </w:r>
          <w:r>
            <w:rPr>
              <w:rFonts w:ascii="Arial" w:hAnsi="Arial" w:cs="Arial"/>
              <w:noProof/>
              <w:sz w:val="16"/>
              <w:szCs w:val="16"/>
            </w:rPr>
            <w:t xml:space="preserve"> </w:t>
          </w:r>
          <w:r>
            <w:rPr>
              <w:color w:val="000080"/>
              <w:lang w:val="fr-FR"/>
            </w:rPr>
            <w:sym w:font="Wingdings 2" w:char="F027"/>
          </w:r>
          <w:r>
            <w:rPr>
              <w:rFonts w:ascii="Arial" w:hAnsi="Arial" w:cs="Arial"/>
              <w:noProof/>
              <w:sz w:val="16"/>
              <w:szCs w:val="16"/>
            </w:rPr>
            <w:t>0313 250 250 ho</w:t>
          </w:r>
          <w:r w:rsidRPr="006925C5">
            <w:rPr>
              <w:rFonts w:ascii="Arial" w:hAnsi="Arial" w:cs="Arial"/>
              <w:noProof/>
              <w:sz w:val="16"/>
              <w:szCs w:val="16"/>
            </w:rPr>
            <w:t>ặc</w:t>
          </w:r>
          <w:r>
            <w:rPr>
              <w:rFonts w:ascii="Arial" w:hAnsi="Arial" w:cs="Arial"/>
              <w:noProof/>
              <w:sz w:val="16"/>
              <w:szCs w:val="16"/>
            </w:rPr>
            <w:t xml:space="preserve"> </w:t>
          </w:r>
          <w:r w:rsidRPr="006925C5">
            <w:rPr>
              <w:rFonts w:ascii="Arial" w:hAnsi="Arial" w:cs="Arial"/>
              <w:noProof/>
              <w:sz w:val="16"/>
              <w:szCs w:val="16"/>
            </w:rPr>
            <w:t>inf</w:t>
          </w:r>
          <w:r>
            <w:rPr>
              <w:rFonts w:ascii="Arial" w:hAnsi="Arial" w:cs="Arial"/>
              <w:noProof/>
              <w:sz w:val="16"/>
              <w:szCs w:val="16"/>
            </w:rPr>
            <w:t>otaiviet@gmail.com.</w:t>
          </w:r>
        </w:p>
      </w:tc>
    </w:tr>
  </w:tbl>
  <w:p w:rsidR="003643FF" w:rsidRDefault="000E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DC" w:rsidRDefault="000E06DC" w:rsidP="00520C7F">
      <w:r>
        <w:separator/>
      </w:r>
    </w:p>
  </w:footnote>
  <w:footnote w:type="continuationSeparator" w:id="0">
    <w:p w:rsidR="000E06DC" w:rsidRDefault="000E06DC" w:rsidP="0052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0E06DC">
    <w:pPr>
      <w:pStyle w:val="Heade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367.2pt;height:367.2pt;z-index:-251656192;mso-position-horizontal:center;mso-position-horizontal-relative:margin;mso-position-vertical:center;mso-position-vertical-relative:margin" o:allowincell="f">
          <v:imagedata r:id="rId1" o:title="tai_vie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0E06DC" w:rsidP="001752E9">
    <w:pPr>
      <w:pStyle w:val="Header"/>
      <w:tabs>
        <w:tab w:val="clear" w:pos="4320"/>
        <w:tab w:val="clear" w:pos="8640"/>
        <w:tab w:val="center" w:pos="4949"/>
        <w:tab w:val="right" w:pos="9898"/>
      </w:tabs>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81pt;margin-top:133.1pt;width:367.2pt;height:367.2pt;z-index:-251657216;mso-position-horizontal-relative:margin;mso-position-vertical-relative:margin">
          <v:imagedata r:id="rId1" o:title="tai_viet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0A10"/>
    <w:multiLevelType w:val="hybridMultilevel"/>
    <w:tmpl w:val="817A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A692A"/>
    <w:multiLevelType w:val="hybridMultilevel"/>
    <w:tmpl w:val="69AAF536"/>
    <w:lvl w:ilvl="0" w:tplc="973C5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7F"/>
    <w:rsid w:val="000E06DC"/>
    <w:rsid w:val="00336435"/>
    <w:rsid w:val="004A525A"/>
    <w:rsid w:val="00520C7F"/>
    <w:rsid w:val="008624A4"/>
    <w:rsid w:val="00B031AA"/>
    <w:rsid w:val="00B40342"/>
    <w:rsid w:val="00C80EEC"/>
    <w:rsid w:val="00E63510"/>
    <w:rsid w:val="00F754D5"/>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7F"/>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520C7F"/>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C7F"/>
    <w:rPr>
      <w:rFonts w:ascii=".VnTime" w:eastAsia="SimSun" w:hAnsi=".VnTime" w:cs="Times New Roman"/>
      <w:sz w:val="24"/>
      <w:szCs w:val="24"/>
    </w:rPr>
  </w:style>
  <w:style w:type="character" w:styleId="Hyperlink">
    <w:name w:val="Hyperlink"/>
    <w:uiPriority w:val="99"/>
    <w:rsid w:val="00520C7F"/>
    <w:rPr>
      <w:color w:val="0000FF"/>
      <w:u w:val="single"/>
    </w:rPr>
  </w:style>
  <w:style w:type="paragraph" w:styleId="Header">
    <w:name w:val="header"/>
    <w:basedOn w:val="Normal"/>
    <w:link w:val="HeaderChar"/>
    <w:uiPriority w:val="99"/>
    <w:rsid w:val="00520C7F"/>
    <w:pPr>
      <w:tabs>
        <w:tab w:val="center" w:pos="4320"/>
        <w:tab w:val="right" w:pos="8640"/>
      </w:tabs>
    </w:pPr>
  </w:style>
  <w:style w:type="character" w:customStyle="1" w:styleId="HeaderChar">
    <w:name w:val="Header Char"/>
    <w:basedOn w:val="DefaultParagraphFont"/>
    <w:link w:val="Header"/>
    <w:uiPriority w:val="99"/>
    <w:rsid w:val="00520C7F"/>
    <w:rPr>
      <w:rFonts w:ascii=".VnTime" w:eastAsia="Times New Roman" w:hAnsi=".VnTime" w:cs="Times New Roman"/>
      <w:sz w:val="28"/>
      <w:szCs w:val="28"/>
      <w:lang w:val="en-GB"/>
    </w:rPr>
  </w:style>
  <w:style w:type="paragraph" w:styleId="Footer">
    <w:name w:val="footer"/>
    <w:basedOn w:val="Normal"/>
    <w:link w:val="FooterChar"/>
    <w:uiPriority w:val="99"/>
    <w:rsid w:val="00520C7F"/>
    <w:pPr>
      <w:tabs>
        <w:tab w:val="center" w:pos="4320"/>
        <w:tab w:val="right" w:pos="8640"/>
      </w:tabs>
    </w:pPr>
  </w:style>
  <w:style w:type="character" w:customStyle="1" w:styleId="FooterChar">
    <w:name w:val="Footer Char"/>
    <w:basedOn w:val="DefaultParagraphFont"/>
    <w:link w:val="Footer"/>
    <w:uiPriority w:val="99"/>
    <w:rsid w:val="00520C7F"/>
    <w:rPr>
      <w:rFonts w:ascii=".VnTime" w:eastAsia="Times New Roman" w:hAnsi=".VnTime" w:cs="Times New Roman"/>
      <w:sz w:val="28"/>
      <w:szCs w:val="28"/>
      <w:lang w:val="en-GB"/>
    </w:rPr>
  </w:style>
  <w:style w:type="character" w:styleId="PageNumber">
    <w:name w:val="page number"/>
    <w:basedOn w:val="DefaultParagraphFont"/>
    <w:rsid w:val="00520C7F"/>
  </w:style>
  <w:style w:type="paragraph" w:styleId="NormalWeb">
    <w:name w:val="Normal (Web)"/>
    <w:basedOn w:val="Normal"/>
    <w:uiPriority w:val="99"/>
    <w:rsid w:val="00520C7F"/>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520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7F"/>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520C7F"/>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C7F"/>
    <w:rPr>
      <w:rFonts w:ascii=".VnTime" w:eastAsia="SimSun" w:hAnsi=".VnTime" w:cs="Times New Roman"/>
      <w:sz w:val="24"/>
      <w:szCs w:val="24"/>
    </w:rPr>
  </w:style>
  <w:style w:type="character" w:styleId="Hyperlink">
    <w:name w:val="Hyperlink"/>
    <w:uiPriority w:val="99"/>
    <w:rsid w:val="00520C7F"/>
    <w:rPr>
      <w:color w:val="0000FF"/>
      <w:u w:val="single"/>
    </w:rPr>
  </w:style>
  <w:style w:type="paragraph" w:styleId="Header">
    <w:name w:val="header"/>
    <w:basedOn w:val="Normal"/>
    <w:link w:val="HeaderChar"/>
    <w:uiPriority w:val="99"/>
    <w:rsid w:val="00520C7F"/>
    <w:pPr>
      <w:tabs>
        <w:tab w:val="center" w:pos="4320"/>
        <w:tab w:val="right" w:pos="8640"/>
      </w:tabs>
    </w:pPr>
  </w:style>
  <w:style w:type="character" w:customStyle="1" w:styleId="HeaderChar">
    <w:name w:val="Header Char"/>
    <w:basedOn w:val="DefaultParagraphFont"/>
    <w:link w:val="Header"/>
    <w:uiPriority w:val="99"/>
    <w:rsid w:val="00520C7F"/>
    <w:rPr>
      <w:rFonts w:ascii=".VnTime" w:eastAsia="Times New Roman" w:hAnsi=".VnTime" w:cs="Times New Roman"/>
      <w:sz w:val="28"/>
      <w:szCs w:val="28"/>
      <w:lang w:val="en-GB"/>
    </w:rPr>
  </w:style>
  <w:style w:type="paragraph" w:styleId="Footer">
    <w:name w:val="footer"/>
    <w:basedOn w:val="Normal"/>
    <w:link w:val="FooterChar"/>
    <w:uiPriority w:val="99"/>
    <w:rsid w:val="00520C7F"/>
    <w:pPr>
      <w:tabs>
        <w:tab w:val="center" w:pos="4320"/>
        <w:tab w:val="right" w:pos="8640"/>
      </w:tabs>
    </w:pPr>
  </w:style>
  <w:style w:type="character" w:customStyle="1" w:styleId="FooterChar">
    <w:name w:val="Footer Char"/>
    <w:basedOn w:val="DefaultParagraphFont"/>
    <w:link w:val="Footer"/>
    <w:uiPriority w:val="99"/>
    <w:rsid w:val="00520C7F"/>
    <w:rPr>
      <w:rFonts w:ascii=".VnTime" w:eastAsia="Times New Roman" w:hAnsi=".VnTime" w:cs="Times New Roman"/>
      <w:sz w:val="28"/>
      <w:szCs w:val="28"/>
      <w:lang w:val="en-GB"/>
    </w:rPr>
  </w:style>
  <w:style w:type="character" w:styleId="PageNumber">
    <w:name w:val="page number"/>
    <w:basedOn w:val="DefaultParagraphFont"/>
    <w:rsid w:val="00520C7F"/>
  </w:style>
  <w:style w:type="paragraph" w:styleId="NormalWeb">
    <w:name w:val="Normal (Web)"/>
    <w:basedOn w:val="Normal"/>
    <w:uiPriority w:val="99"/>
    <w:rsid w:val="00520C7F"/>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52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uvienphapluat.vn/phap-luat/tim-van-ban.aspx?keyword=300/2016/TT-BTC&amp;area=2&amp;type=0&amp;match=False&amp;vc=True&amp;lan=1"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uvienphapluat.vn/phap-luat/tim-van-ban.aspx?keyword=33/2008/Q%C4%90-BTC&amp;area=2&amp;type=0&amp;match=False&amp;vc=True&amp;lan=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300/2016/TT-BTC&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2017-01-09T10:26:00Z</dcterms:created>
  <dcterms:modified xsi:type="dcterms:W3CDTF">2017-01-10T07:30:00Z</dcterms:modified>
</cp:coreProperties>
</file>