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90"/>
        <w:gridCol w:w="2684"/>
        <w:gridCol w:w="16"/>
        <w:gridCol w:w="4050"/>
        <w:gridCol w:w="2898"/>
      </w:tblGrid>
      <w:tr w:rsidR="0070176B" w:rsidRPr="00B057E3" w:rsidTr="00B057E3">
        <w:trPr>
          <w:trHeight w:val="1094"/>
        </w:trPr>
        <w:tc>
          <w:tcPr>
            <w:tcW w:w="3512" w:type="dxa"/>
            <w:gridSpan w:val="3"/>
            <w:tcBorders>
              <w:right w:val="nil"/>
            </w:tcBorders>
            <w:shd w:val="clear" w:color="auto" w:fill="E20000"/>
            <w:vAlign w:val="center"/>
          </w:tcPr>
          <w:p w:rsidR="0070176B" w:rsidRPr="00B057E3" w:rsidRDefault="0070176B" w:rsidP="0070176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BẢN TIN THUẾ</w:t>
            </w:r>
          </w:p>
          <w:p w:rsidR="0070176B" w:rsidRPr="00B057E3" w:rsidRDefault="0070176B" w:rsidP="0070176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Số</w:t>
            </w:r>
            <w:proofErr w:type="spellEnd"/>
            <w:r w:rsid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22</w:t>
            </w:r>
            <w:r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17</w:t>
            </w:r>
          </w:p>
          <w:p w:rsidR="0070176B" w:rsidRPr="00B057E3" w:rsidRDefault="000E6BA1" w:rsidP="0070176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</w:t>
            </w:r>
            <w:r w:rsid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05/06 -10/06</w:t>
            </w:r>
            <w:r w:rsidR="0070176B"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0000"/>
            <w:vAlign w:val="center"/>
          </w:tcPr>
          <w:p w:rsidR="0070176B" w:rsidRPr="00B057E3" w:rsidRDefault="0070176B" w:rsidP="0070176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Nội</w:t>
            </w:r>
            <w:proofErr w:type="spellEnd"/>
            <w:r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dung</w:t>
            </w:r>
          </w:p>
          <w:p w:rsidR="0070176B" w:rsidRPr="00B057E3" w:rsidRDefault="0070176B" w:rsidP="0070176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VĂN BẢN PHÁP LÝ VỀ THUẾ</w:t>
            </w:r>
          </w:p>
          <w:p w:rsidR="0070176B" w:rsidRPr="00B057E3" w:rsidRDefault="0070176B" w:rsidP="0070176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VẤN ĐỀ CẦN LƯU Ý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0000"/>
            <w:vAlign w:val="center"/>
          </w:tcPr>
          <w:p w:rsidR="0070176B" w:rsidRPr="00B057E3" w:rsidRDefault="0070176B" w:rsidP="0070176B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Trang</w:t>
            </w:r>
            <w:proofErr w:type="spellEnd"/>
          </w:p>
          <w:p w:rsidR="0070176B" w:rsidRPr="00B057E3" w:rsidRDefault="0070176B" w:rsidP="0070176B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70176B" w:rsidRPr="00B057E3" w:rsidRDefault="0070176B" w:rsidP="0070176B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70176B" w:rsidRPr="00B057E3" w:rsidTr="008B32C5">
        <w:trPr>
          <w:trHeight w:val="701"/>
        </w:trPr>
        <w:tc>
          <w:tcPr>
            <w:tcW w:w="828" w:type="dxa"/>
            <w:gridSpan w:val="2"/>
          </w:tcPr>
          <w:p w:rsidR="0070176B" w:rsidRPr="00B057E3" w:rsidRDefault="0070176B" w:rsidP="0070176B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B057E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5E3D43E" wp14:editId="205224EB">
                  <wp:extent cx="459921" cy="413657"/>
                  <wp:effectExtent l="19050" t="0" r="0" b="0"/>
                  <wp:docPr id="2" name="Picture 1" descr="C:\Users\hp\Pictures\Th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Th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21" cy="413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gridSpan w:val="4"/>
            <w:shd w:val="clear" w:color="auto" w:fill="E20000"/>
            <w:vAlign w:val="center"/>
          </w:tcPr>
          <w:p w:rsidR="0070176B" w:rsidRPr="00B057E3" w:rsidRDefault="00685558" w:rsidP="0070176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5407" behindDoc="0" locked="0" layoutInCell="1" allowOverlap="1" wp14:anchorId="1FC5BED4" wp14:editId="00368D42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410845</wp:posOffset>
                  </wp:positionV>
                  <wp:extent cx="5177790" cy="7243445"/>
                  <wp:effectExtent l="0" t="0" r="0" b="0"/>
                  <wp:wrapNone/>
                  <wp:docPr id="4" name="Picture 4" descr="E:\taiviet\water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aiviet\water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790" cy="724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76B"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VĂN BẢN PHÁP LÝ VỀ THUẾ</w:t>
            </w:r>
          </w:p>
        </w:tc>
      </w:tr>
      <w:tr w:rsidR="0070176B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1531E6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2503/TCT-KK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70176B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oàn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giá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trị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gia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tăng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của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dự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án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đầu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tư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mở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rộng</w:t>
            </w:r>
            <w:proofErr w:type="spellEnd"/>
          </w:p>
        </w:tc>
      </w:tr>
      <w:tr w:rsidR="001531E6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1531E6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2490/TCT-DNL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1531E6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hủ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tục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thay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đổi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thông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tin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đăng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ký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và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đóng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mã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2483/TCT-KK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oàn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giá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trị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gia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tăng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với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trường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hợp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âm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12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tháng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/4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quý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2482/TCT-KK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oàn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giá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trị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gia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tăng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2477/TCT-CS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hời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hạn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nộp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tiền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cấp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quyền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khai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thác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khoáng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sản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2476/TCT-CS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ử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dụng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hóa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đơn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2464/TCT-KK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oàn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giá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trị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gia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tăng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với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dự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án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đầu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tư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2422/TCT-KK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oàn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giá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trị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gia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tăng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2421/TCT-CS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hính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sách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về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tính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tiền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chậm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nộp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2420/TCT-CS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dụng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phương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pháp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tính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giá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trị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gia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tăng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2419/TCT-TTHT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rường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hợp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mất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bản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chính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chứng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chỉ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nghề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dịch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vụ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làm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thủ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tục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về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2415/TCT-DNL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hoản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trích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phí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phục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vụ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xác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định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lợi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nhuận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còn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lại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nộp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ngân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sách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nhà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nước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của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ty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lịch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Sài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Gòn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lastRenderedPageBreak/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2465/TCT-TTHT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685558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iới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thiệu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dung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mới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Thông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tư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51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về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hướng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dẫn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nghề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làm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thủ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tục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về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5851/VPCP-KTTH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phòng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Chính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phủ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D7172E" w:rsidP="00D71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057E3" w:rsidRPr="00D7172E">
              <w:rPr>
                <w:rFonts w:ascii="Arial" w:hAnsi="Arial" w:cs="Arial"/>
                <w:sz w:val="24"/>
                <w:szCs w:val="24"/>
              </w:rPr>
              <w:t>hính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sách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ưu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đãi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thu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nhập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doanh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nghiệp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của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ty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cổ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phần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thép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Hòa</w:t>
            </w:r>
            <w:proofErr w:type="spellEnd"/>
            <w:r w:rsidR="00B057E3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57E3" w:rsidRPr="00D7172E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</w:p>
        </w:tc>
      </w:tr>
      <w:tr w:rsidR="00B057E3" w:rsidRPr="00B057E3" w:rsidTr="008B32C5">
        <w:trPr>
          <w:trHeight w:val="701"/>
        </w:trPr>
        <w:tc>
          <w:tcPr>
            <w:tcW w:w="3512" w:type="dxa"/>
            <w:gridSpan w:val="3"/>
            <w:shd w:val="clear" w:color="auto" w:fill="92D050"/>
          </w:tcPr>
          <w:p w:rsidR="00B057E3" w:rsidRPr="00D7172E" w:rsidRDefault="00B057E3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252/CP-KTTH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Chính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phủ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964" w:type="dxa"/>
            <w:gridSpan w:val="3"/>
            <w:shd w:val="clear" w:color="auto" w:fill="FFFFFF" w:themeFill="background1"/>
            <w:vAlign w:val="center"/>
          </w:tcPr>
          <w:p w:rsidR="00B057E3" w:rsidRPr="00D7172E" w:rsidRDefault="00B057E3" w:rsidP="00685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Đính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chính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sai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sót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tại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Nghị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định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20/2017/NĐ-CP</w:t>
            </w:r>
            <w:r w:rsidR="0068555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quy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định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về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quản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lý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thuế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đối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với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doanh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nghiệp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có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giao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dịch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liên</w:t>
              </w:r>
              <w:proofErr w:type="spellEnd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5558" w:rsidRPr="006855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kết</w:t>
              </w:r>
              <w:proofErr w:type="spellEnd"/>
            </w:hyperlink>
          </w:p>
        </w:tc>
      </w:tr>
      <w:tr w:rsidR="00E47484" w:rsidRPr="00B057E3" w:rsidTr="00685558">
        <w:trPr>
          <w:trHeight w:val="701"/>
        </w:trPr>
        <w:tc>
          <w:tcPr>
            <w:tcW w:w="738" w:type="dxa"/>
            <w:shd w:val="clear" w:color="auto" w:fill="FFFFFF" w:themeFill="background1"/>
          </w:tcPr>
          <w:p w:rsidR="00E47484" w:rsidRPr="00B057E3" w:rsidRDefault="00D7172E" w:rsidP="0070176B">
            <w:pPr>
              <w:ind w:left="-90"/>
              <w:rPr>
                <w:rFonts w:ascii="Arial" w:hAnsi="Arial" w:cs="Arial"/>
                <w:noProof/>
                <w:sz w:val="24"/>
                <w:szCs w:val="24"/>
              </w:rPr>
            </w:pPr>
            <w:r w:rsidRPr="00B057E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0" allowOverlap="1" wp14:anchorId="2F2F8442" wp14:editId="4CF19FAF">
                  <wp:simplePos x="0" y="0"/>
                  <wp:positionH relativeFrom="page">
                    <wp:posOffset>571591</wp:posOffset>
                  </wp:positionH>
                  <wp:positionV relativeFrom="page">
                    <wp:posOffset>2925445</wp:posOffset>
                  </wp:positionV>
                  <wp:extent cx="459740" cy="4457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 r="8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38" w:type="dxa"/>
            <w:gridSpan w:val="5"/>
            <w:shd w:val="clear" w:color="auto" w:fill="E20000"/>
            <w:vAlign w:val="center"/>
          </w:tcPr>
          <w:p w:rsidR="00E47484" w:rsidRPr="00B057E3" w:rsidRDefault="005615C9" w:rsidP="0068555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057E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39" behindDoc="1" locked="0" layoutInCell="1" allowOverlap="1" wp14:anchorId="6C87CFE4" wp14:editId="313F5D6F">
                  <wp:simplePos x="0" y="0"/>
                  <wp:positionH relativeFrom="column">
                    <wp:posOffset>1776549</wp:posOffset>
                  </wp:positionH>
                  <wp:positionV relativeFrom="paragraph">
                    <wp:posOffset>300990</wp:posOffset>
                  </wp:positionV>
                  <wp:extent cx="4269740" cy="5193665"/>
                  <wp:effectExtent l="0" t="0" r="0" b="0"/>
                  <wp:wrapNone/>
                  <wp:docPr id="3" name="Picture 3" descr="E:\taiviet\Untitleccc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aiviet\Untitlecccd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5" b="7939"/>
                          <a:stretch/>
                        </pic:blipFill>
                        <pic:spPr bwMode="auto">
                          <a:xfrm>
                            <a:off x="0" y="0"/>
                            <a:ext cx="4269740" cy="519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5D61" w:rsidRPr="00B05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VẤN ĐỀ CẦN LƯU Ý</w:t>
            </w:r>
          </w:p>
        </w:tc>
      </w:tr>
      <w:tr w:rsidR="00CC5D61" w:rsidRPr="00B057E3" w:rsidTr="001B460C">
        <w:trPr>
          <w:trHeight w:val="8666"/>
        </w:trPr>
        <w:tc>
          <w:tcPr>
            <w:tcW w:w="3528" w:type="dxa"/>
            <w:gridSpan w:val="4"/>
            <w:shd w:val="clear" w:color="auto" w:fill="92D050"/>
            <w:vAlign w:val="center"/>
          </w:tcPr>
          <w:p w:rsidR="00CC5D61" w:rsidRPr="00AD4EBD" w:rsidRDefault="00685558" w:rsidP="001B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7455" behindDoc="0" locked="0" layoutInCell="1" allowOverlap="1" wp14:anchorId="7928AEC1" wp14:editId="28C50AB7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-702945</wp:posOffset>
                  </wp:positionV>
                  <wp:extent cx="5177790" cy="7243445"/>
                  <wp:effectExtent l="0" t="0" r="0" b="0"/>
                  <wp:wrapNone/>
                  <wp:docPr id="12" name="Picture 12" descr="E:\taiviet\water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aiviet\water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790" cy="724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531E6" w:rsidRPr="00AD4EBD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="001531E6"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531E6" w:rsidRPr="00AD4EBD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="001531E6"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531E6" w:rsidRPr="00AD4EBD"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 w:rsidR="001531E6" w:rsidRPr="00AD4EBD">
              <w:rPr>
                <w:rFonts w:ascii="Arial" w:hAnsi="Arial" w:cs="Arial"/>
                <w:sz w:val="24"/>
                <w:szCs w:val="24"/>
              </w:rPr>
              <w:t xml:space="preserve"> 2465/TCT-TTHT</w:t>
            </w:r>
          </w:p>
          <w:p w:rsidR="001531E6" w:rsidRPr="00AD4EBD" w:rsidRDefault="001531E6" w:rsidP="001B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06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tháng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6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2017</w:t>
            </w:r>
          </w:p>
          <w:p w:rsidR="001531E6" w:rsidRPr="00AD4EBD" w:rsidRDefault="001531E6" w:rsidP="001B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bởi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</w:p>
          <w:p w:rsidR="001531E6" w:rsidRPr="00AD4EBD" w:rsidRDefault="001531E6" w:rsidP="001B4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Hướng</w:t>
            </w:r>
            <w:proofErr w:type="spellEnd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dẫn</w:t>
            </w:r>
            <w:proofErr w:type="spellEnd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="001B46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ề</w:t>
            </w:r>
            <w:proofErr w:type="spellEnd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hành</w:t>
            </w:r>
            <w:proofErr w:type="spellEnd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nghề</w:t>
            </w:r>
            <w:proofErr w:type="spellEnd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làm</w:t>
            </w:r>
            <w:proofErr w:type="spellEnd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thủ</w:t>
            </w:r>
            <w:proofErr w:type="spellEnd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tục</w:t>
            </w:r>
            <w:proofErr w:type="spellEnd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về</w:t>
            </w:r>
            <w:proofErr w:type="spellEnd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6948" w:type="dxa"/>
            <w:gridSpan w:val="2"/>
            <w:shd w:val="clear" w:color="auto" w:fill="FFFFFF" w:themeFill="background1"/>
            <w:vAlign w:val="center"/>
          </w:tcPr>
          <w:p w:rsidR="005615C9" w:rsidRPr="00AD4EBD" w:rsidRDefault="00FF6B9A" w:rsidP="00D717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hướng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dẫn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một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điểm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mới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quy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định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tại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Thông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tư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hyperlink r:id="rId14" w:tgtFrame="_blank" w:history="1">
              <w:r w:rsidRPr="00AD4EBD">
                <w:rPr>
                  <w:rStyle w:val="Hyperlink"/>
                  <w:rFonts w:ascii="Arial" w:hAnsi="Arial" w:cs="Arial"/>
                  <w:sz w:val="24"/>
                  <w:szCs w:val="24"/>
                </w:rPr>
                <w:t>51/2017/TT-BTC</w:t>
              </w:r>
            </w:hyperlink>
            <w:r w:rsidRPr="00AD4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sửa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đổi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bổ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sung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một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điều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của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Thông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tư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hyperlink r:id="rId15" w:tgtFrame="_blank" w:history="1">
              <w:r w:rsidRPr="00AD4EBD">
                <w:rPr>
                  <w:rStyle w:val="Hyperlink"/>
                  <w:rFonts w:ascii="Arial" w:hAnsi="Arial" w:cs="Arial"/>
                  <w:sz w:val="24"/>
                  <w:szCs w:val="24"/>
                </w:rPr>
                <w:t>117/2012/TT-BTC</w:t>
              </w:r>
            </w:hyperlink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19/7/2012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của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Bộ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Tài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chính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hướng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dẫn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về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nghề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dịch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vụ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làm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thủ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tục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về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AD4EBD" w:rsidRPr="00AD4EBD">
              <w:rPr>
                <w:rFonts w:ascii="Arial" w:hAnsi="Arial" w:cs="Arial"/>
                <w:sz w:val="24"/>
                <w:szCs w:val="24"/>
              </w:rPr>
              <w:t xml:space="preserve">. Theo </w:t>
            </w:r>
            <w:proofErr w:type="spellStart"/>
            <w:r w:rsidR="00AD4EBD" w:rsidRPr="00AD4EBD">
              <w:rPr>
                <w:rFonts w:ascii="Arial" w:hAnsi="Arial" w:cs="Arial"/>
                <w:sz w:val="24"/>
                <w:szCs w:val="24"/>
              </w:rPr>
              <w:t>đó</w:t>
            </w:r>
            <w:proofErr w:type="spellEnd"/>
            <w:r w:rsidR="00AD4EBD" w:rsidRPr="00AD4EB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D4EBD" w:rsidRPr="00AD4EBD" w:rsidRDefault="00AD4EBD" w:rsidP="00D717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Hồ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sơ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thủ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tục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đăng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ký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bỏ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quy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định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giấy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chứng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nhận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đăng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ký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trong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mẫu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01A</w:t>
            </w:r>
          </w:p>
          <w:p w:rsidR="00AD4EBD" w:rsidRPr="00AD4EBD" w:rsidRDefault="00AD4EBD" w:rsidP="00D717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Thời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hạn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xác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nhận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hồ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sơ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(05)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làm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việc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kể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từ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nhận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đủ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hồ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sơ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hợp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lệ</w:t>
            </w:r>
            <w:proofErr w:type="spellEnd"/>
          </w:p>
          <w:p w:rsidR="00AD4EBD" w:rsidRPr="00AD4EBD" w:rsidRDefault="00AD4EBD" w:rsidP="00D717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Điều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kiện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dự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: Cho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phép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các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chuyên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ngành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khác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có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đơn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vị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học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trình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hoặc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tiết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học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các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môn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học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về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tài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chính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toán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kiểm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toán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phân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tích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hoạt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động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tài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chính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từ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7%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trên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học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trình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hoặc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tiết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học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cả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khóa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học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trở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lên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có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thời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gian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làm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việc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trong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lĩnh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vực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này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từ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đủ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hai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(02)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trở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lên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tính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từ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thời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gian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tốt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nghiệp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D4EBD" w:rsidRDefault="00AD4EBD" w:rsidP="00D717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Tổ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chức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thi</w:t>
            </w:r>
            <w:proofErr w:type="spellEnd"/>
          </w:p>
          <w:p w:rsidR="00AD4EBD" w:rsidRDefault="00AD4EBD" w:rsidP="00D7172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Thời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gian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Mỗi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ít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nhất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hai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(02)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kỳ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Trước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ít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nhấ</w:t>
            </w:r>
            <w:bookmarkStart w:id="0" w:name="_GoBack"/>
            <w:bookmarkEnd w:id="0"/>
            <w:r w:rsidRPr="00AD4EBD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sáu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mươi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(60)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thông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báo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về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thông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tin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liên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quan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đến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kỳ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thi.</w:t>
            </w:r>
            <w:proofErr w:type="spellEnd"/>
          </w:p>
          <w:p w:rsidR="00AD4EBD" w:rsidRDefault="00AD4EBD" w:rsidP="00D7172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Địa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điểm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Có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thể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theo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các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vùng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theo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địa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phương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D4EBD" w:rsidRDefault="00AD4EBD" w:rsidP="00D7172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Phí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dự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phải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nộp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phí</w:t>
            </w:r>
            <w:proofErr w:type="spellEnd"/>
          </w:p>
          <w:p w:rsidR="00AD4EBD" w:rsidRDefault="00AD4EBD" w:rsidP="00D717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Miễn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môn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7172E" w:rsidRDefault="00AD4EBD" w:rsidP="00D7172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Pháp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luật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về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:  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Có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thể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miễn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với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giảng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viên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D7172E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Thời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gian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tác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trong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ngành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từ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(03)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trở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lên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khi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thôi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tác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trong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ngành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</w:p>
          <w:p w:rsidR="00AD4EBD" w:rsidRPr="00AD4EBD" w:rsidRDefault="00AD4EBD" w:rsidP="00D7172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Pháp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luật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về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và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toán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:</w:t>
            </w:r>
            <w:r w:rsid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Miễn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đổi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với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người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có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Giấy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chứng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nhận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đăng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ký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nghề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kế</w:t>
            </w:r>
            <w:proofErr w:type="spellEnd"/>
            <w:r w:rsidRPr="00D7172E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7172E">
              <w:rPr>
                <w:rFonts w:ascii="Arial" w:hAnsi="Arial" w:cs="Arial"/>
                <w:sz w:val="24"/>
                <w:szCs w:val="24"/>
              </w:rPr>
              <w:t>toán</w:t>
            </w:r>
            <w:proofErr w:type="spellEnd"/>
            <w:r w:rsidR="00D7172E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Thời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gian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tác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liên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tục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trong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ngành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từ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(05)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trở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lên</w:t>
            </w:r>
            <w:proofErr w:type="spellEnd"/>
          </w:p>
        </w:tc>
      </w:tr>
      <w:tr w:rsidR="00AD4EBD" w:rsidRPr="00B057E3" w:rsidTr="00D7172E">
        <w:trPr>
          <w:trHeight w:val="818"/>
        </w:trPr>
        <w:tc>
          <w:tcPr>
            <w:tcW w:w="3528" w:type="dxa"/>
            <w:gridSpan w:val="4"/>
            <w:shd w:val="clear" w:color="auto" w:fill="92D050"/>
          </w:tcPr>
          <w:p w:rsidR="00AD4EBD" w:rsidRPr="00AD4EBD" w:rsidRDefault="001B460C" w:rsidP="00D717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lastRenderedPageBreak/>
              <w:drawing>
                <wp:anchor distT="0" distB="0" distL="114300" distR="114300" simplePos="0" relativeHeight="251663359" behindDoc="0" locked="0" layoutInCell="1" allowOverlap="1" wp14:anchorId="081BE673" wp14:editId="31648FE9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18588</wp:posOffset>
                  </wp:positionV>
                  <wp:extent cx="5318125" cy="7439660"/>
                  <wp:effectExtent l="0" t="0" r="0" b="0"/>
                  <wp:wrapNone/>
                  <wp:docPr id="5" name="Picture 5" descr="E:\taiviet\water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aiviet\water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125" cy="743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D4EBD" w:rsidRPr="00D7172E">
              <w:rPr>
                <w:rFonts w:ascii="Arial" w:hAnsi="Arial" w:cs="Arial"/>
                <w:sz w:val="24"/>
                <w:szCs w:val="24"/>
              </w:rPr>
              <w:t>Công</w:t>
            </w:r>
            <w:proofErr w:type="spellEnd"/>
            <w:r w:rsidR="00AD4EBD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4EBD" w:rsidRPr="00D7172E">
              <w:rPr>
                <w:rFonts w:ascii="Arial" w:hAnsi="Arial" w:cs="Arial"/>
                <w:sz w:val="24"/>
                <w:szCs w:val="24"/>
              </w:rPr>
              <w:t>văn</w:t>
            </w:r>
            <w:proofErr w:type="spellEnd"/>
            <w:r w:rsidR="00AD4EBD" w:rsidRPr="00D7172E">
              <w:rPr>
                <w:rFonts w:ascii="Arial" w:hAnsi="Arial" w:cs="Arial"/>
                <w:sz w:val="24"/>
                <w:szCs w:val="24"/>
              </w:rPr>
              <w:t xml:space="preserve"> 2420/TCT-CS </w:t>
            </w:r>
            <w:proofErr w:type="spellStart"/>
            <w:r w:rsidR="00AD4EBD" w:rsidRPr="00D7172E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="00AD4EBD" w:rsidRPr="00D7172E">
              <w:rPr>
                <w:rFonts w:ascii="Arial" w:hAnsi="Arial" w:cs="Arial"/>
                <w:sz w:val="24"/>
                <w:szCs w:val="24"/>
              </w:rPr>
              <w:t xml:space="preserve"> 2017 do </w:t>
            </w:r>
            <w:proofErr w:type="spellStart"/>
            <w:r w:rsidR="00AD4EBD" w:rsidRPr="00D7172E">
              <w:rPr>
                <w:rFonts w:ascii="Arial" w:hAnsi="Arial" w:cs="Arial"/>
                <w:sz w:val="24"/>
                <w:szCs w:val="24"/>
              </w:rPr>
              <w:t>Tổng</w:t>
            </w:r>
            <w:proofErr w:type="spellEnd"/>
            <w:r w:rsidR="00AD4EBD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4EBD" w:rsidRPr="00D7172E">
              <w:rPr>
                <w:rFonts w:ascii="Arial" w:hAnsi="Arial" w:cs="Arial"/>
                <w:sz w:val="24"/>
                <w:szCs w:val="24"/>
              </w:rPr>
              <w:t>cục</w:t>
            </w:r>
            <w:proofErr w:type="spellEnd"/>
            <w:r w:rsidR="00AD4EBD" w:rsidRPr="00D717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4EBD" w:rsidRPr="00D7172E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="00AD4EBD" w:rsidRPr="00D7172E">
              <w:rPr>
                <w:rFonts w:ascii="Arial" w:hAnsi="Arial" w:cs="Arial"/>
                <w:sz w:val="24"/>
                <w:szCs w:val="24"/>
              </w:rPr>
              <w:t xml:space="preserve"> ban </w:t>
            </w:r>
            <w:proofErr w:type="spellStart"/>
            <w:r w:rsidR="00AD4EBD" w:rsidRPr="00D7172E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  <w:p w:rsidR="00AD4EBD" w:rsidRPr="00D7172E" w:rsidRDefault="00AD4EBD" w:rsidP="00D717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Áp</w:t>
            </w:r>
            <w:proofErr w:type="spellEnd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dụng</w:t>
            </w:r>
            <w:proofErr w:type="spellEnd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phương</w:t>
            </w:r>
            <w:proofErr w:type="spellEnd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pháp</w:t>
            </w:r>
            <w:proofErr w:type="spellEnd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tính</w:t>
            </w:r>
            <w:proofErr w:type="spellEnd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thuế</w:t>
            </w:r>
            <w:proofErr w:type="spellEnd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giá</w:t>
            </w:r>
            <w:proofErr w:type="spellEnd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trị</w:t>
            </w:r>
            <w:proofErr w:type="spellEnd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gia</w:t>
            </w:r>
            <w:proofErr w:type="spellEnd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17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tăng</w:t>
            </w:r>
            <w:proofErr w:type="spellEnd"/>
          </w:p>
        </w:tc>
        <w:tc>
          <w:tcPr>
            <w:tcW w:w="6948" w:type="dxa"/>
            <w:gridSpan w:val="2"/>
            <w:shd w:val="clear" w:color="auto" w:fill="FFFFFF" w:themeFill="background1"/>
            <w:vAlign w:val="center"/>
          </w:tcPr>
          <w:p w:rsidR="00AD4EBD" w:rsidRPr="00AD4EBD" w:rsidRDefault="00AD4EBD" w:rsidP="00D7172E">
            <w:pPr>
              <w:spacing w:before="24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Căn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cứ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các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quy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định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trên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trường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hợp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doanh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nghiệp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thành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lập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2016,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đã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nộp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Thông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báo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áp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dụng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phương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pháp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tính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GTGT (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mẫu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06/GTGT)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tới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cơ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quan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quản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lý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trực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tiếp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để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đăng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ký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tự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nguyện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áp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dụng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phương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pháp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khấu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trừ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và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được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chấp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thuận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phép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áp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dụng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tính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GTGT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theo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phương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pháp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khấu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trừ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2016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thì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doanh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nghiệp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được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tiếp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tục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áp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dụng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tính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thuế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GTGT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theo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phương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pháp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khấu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trừ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2017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và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không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phải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nộp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lại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mẫu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06/GTGT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để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đăng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ký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tiếp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EBD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Pr="00AD4EBD">
              <w:rPr>
                <w:rFonts w:ascii="Arial" w:hAnsi="Arial" w:cs="Arial"/>
                <w:sz w:val="24"/>
                <w:szCs w:val="24"/>
              </w:rPr>
              <w:t xml:space="preserve"> 2017.</w:t>
            </w:r>
          </w:p>
        </w:tc>
      </w:tr>
    </w:tbl>
    <w:p w:rsidR="00FF4476" w:rsidRPr="00B057E3" w:rsidRDefault="00FF4476">
      <w:pPr>
        <w:rPr>
          <w:rFonts w:ascii="Arial" w:hAnsi="Arial" w:cs="Arial"/>
          <w:sz w:val="24"/>
          <w:szCs w:val="24"/>
        </w:rPr>
      </w:pPr>
    </w:p>
    <w:p w:rsidR="00575D85" w:rsidRPr="00B057E3" w:rsidRDefault="00FF4476" w:rsidP="00FF4476">
      <w:pPr>
        <w:tabs>
          <w:tab w:val="left" w:pos="1663"/>
        </w:tabs>
        <w:rPr>
          <w:rFonts w:ascii="Arial" w:hAnsi="Arial" w:cs="Arial"/>
          <w:sz w:val="24"/>
          <w:szCs w:val="24"/>
        </w:rPr>
      </w:pPr>
      <w:r w:rsidRPr="00B057E3">
        <w:rPr>
          <w:rFonts w:ascii="Arial" w:hAnsi="Arial" w:cs="Arial"/>
          <w:sz w:val="24"/>
          <w:szCs w:val="24"/>
        </w:rPr>
        <w:tab/>
      </w:r>
    </w:p>
    <w:sectPr w:rsidR="00575D85" w:rsidRPr="00B057E3" w:rsidSect="0070176B">
      <w:headerReference w:type="even" r:id="rId16"/>
      <w:headerReference w:type="default" r:id="rId17"/>
      <w:footerReference w:type="default" r:id="rId18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C0" w:rsidRDefault="004C21C0" w:rsidP="0070176B">
      <w:pPr>
        <w:spacing w:after="0" w:line="240" w:lineRule="auto"/>
      </w:pPr>
      <w:r>
        <w:separator/>
      </w:r>
    </w:p>
  </w:endnote>
  <w:endnote w:type="continuationSeparator" w:id="0">
    <w:p w:rsidR="004C21C0" w:rsidRDefault="004C21C0" w:rsidP="0070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FB" w:rsidRPr="00120C48" w:rsidRDefault="003076FB" w:rsidP="00120C48">
    <w:pPr>
      <w:pStyle w:val="Footer"/>
      <w:snapToGrid w:val="0"/>
      <w:jc w:val="both"/>
      <w:rPr>
        <w:sz w:val="18"/>
      </w:rPr>
    </w:pPr>
    <w:proofErr w:type="spellStart"/>
    <w:r w:rsidRPr="00120C48">
      <w:rPr>
        <w:sz w:val="18"/>
      </w:rPr>
      <w:t>Bản</w:t>
    </w:r>
    <w:proofErr w:type="spellEnd"/>
    <w:r w:rsidRPr="00120C48">
      <w:rPr>
        <w:sz w:val="18"/>
      </w:rPr>
      <w:t xml:space="preserve"> tin </w:t>
    </w:r>
    <w:proofErr w:type="spellStart"/>
    <w:r w:rsidRPr="00120C48">
      <w:rPr>
        <w:sz w:val="18"/>
      </w:rPr>
      <w:t>này</w:t>
    </w:r>
    <w:proofErr w:type="spellEnd"/>
    <w:r w:rsidRPr="00120C48">
      <w:rPr>
        <w:sz w:val="18"/>
      </w:rPr>
      <w:t xml:space="preserve"> do </w:t>
    </w:r>
    <w:proofErr w:type="spellStart"/>
    <w:r w:rsidRPr="00120C48">
      <w:rPr>
        <w:sz w:val="18"/>
      </w:rPr>
      <w:t>Công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ty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cổ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phần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Tài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Việt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cung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cấp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và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chỉ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nhằm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mục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đích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tham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khảo</w:t>
    </w:r>
    <w:proofErr w:type="spellEnd"/>
    <w:r w:rsidRPr="00120C48">
      <w:rPr>
        <w:sz w:val="18"/>
      </w:rPr>
      <w:t xml:space="preserve">. </w:t>
    </w:r>
    <w:proofErr w:type="spellStart"/>
    <w:r w:rsidRPr="00120C48">
      <w:rPr>
        <w:sz w:val="18"/>
      </w:rPr>
      <w:t>Bản</w:t>
    </w:r>
    <w:proofErr w:type="spellEnd"/>
    <w:r w:rsidRPr="00120C48">
      <w:rPr>
        <w:sz w:val="18"/>
      </w:rPr>
      <w:t xml:space="preserve"> tin </w:t>
    </w:r>
    <w:proofErr w:type="spellStart"/>
    <w:r w:rsidRPr="00120C48">
      <w:rPr>
        <w:sz w:val="18"/>
      </w:rPr>
      <w:t>được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xây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dựng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dựa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trên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những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nguồn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thông</w:t>
    </w:r>
    <w:proofErr w:type="spellEnd"/>
    <w:r w:rsidRPr="00120C48">
      <w:rPr>
        <w:sz w:val="18"/>
      </w:rPr>
      <w:t xml:space="preserve"> tin </w:t>
    </w:r>
    <w:proofErr w:type="spellStart"/>
    <w:r w:rsidRPr="00120C48">
      <w:rPr>
        <w:sz w:val="18"/>
      </w:rPr>
      <w:t>đáng</w:t>
    </w:r>
    <w:proofErr w:type="spellEnd"/>
    <w:r w:rsidRPr="00120C48">
      <w:rPr>
        <w:sz w:val="18"/>
      </w:rPr>
      <w:t xml:space="preserve"> tin </w:t>
    </w:r>
    <w:proofErr w:type="spellStart"/>
    <w:r w:rsidRPr="00120C48">
      <w:rPr>
        <w:sz w:val="18"/>
      </w:rPr>
      <w:t>cậy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mà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Tài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Việt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thu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thập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được</w:t>
    </w:r>
    <w:proofErr w:type="spellEnd"/>
    <w:r w:rsidRPr="00120C48">
      <w:rPr>
        <w:sz w:val="18"/>
      </w:rPr>
      <w:t xml:space="preserve">. </w:t>
    </w:r>
    <w:proofErr w:type="spellStart"/>
    <w:r w:rsidRPr="00120C48">
      <w:rPr>
        <w:sz w:val="18"/>
      </w:rPr>
      <w:t>Tài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Việt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không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chịu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trách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nhiệm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với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bất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kì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tổn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thất</w:t>
    </w:r>
    <w:proofErr w:type="spellEnd"/>
    <w:r w:rsidRPr="00120C48">
      <w:rPr>
        <w:sz w:val="18"/>
      </w:rPr>
      <w:t xml:space="preserve"> hay </w:t>
    </w:r>
    <w:proofErr w:type="spellStart"/>
    <w:r w:rsidRPr="00120C48">
      <w:rPr>
        <w:sz w:val="18"/>
      </w:rPr>
      <w:t>thiệt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hại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nào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liên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quan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đến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việc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sử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dụng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những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thông</w:t>
    </w:r>
    <w:proofErr w:type="spellEnd"/>
    <w:r w:rsidRPr="00120C48">
      <w:rPr>
        <w:sz w:val="18"/>
      </w:rPr>
      <w:t xml:space="preserve"> tin </w:t>
    </w:r>
    <w:proofErr w:type="spellStart"/>
    <w:r w:rsidRPr="00120C48">
      <w:rPr>
        <w:sz w:val="18"/>
      </w:rPr>
      <w:t>được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cung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cấp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từ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bản</w:t>
    </w:r>
    <w:proofErr w:type="spellEnd"/>
    <w:r w:rsidRPr="00120C48">
      <w:rPr>
        <w:sz w:val="18"/>
      </w:rPr>
      <w:t xml:space="preserve"> tin </w:t>
    </w:r>
    <w:proofErr w:type="spellStart"/>
    <w:r w:rsidRPr="00120C48">
      <w:rPr>
        <w:sz w:val="18"/>
      </w:rPr>
      <w:t>này</w:t>
    </w:r>
    <w:proofErr w:type="spellEnd"/>
    <w:r w:rsidRPr="00120C48">
      <w:rPr>
        <w:sz w:val="18"/>
      </w:rPr>
      <w:t xml:space="preserve">. </w:t>
    </w:r>
    <w:proofErr w:type="spellStart"/>
    <w:r w:rsidRPr="00120C48">
      <w:rPr>
        <w:sz w:val="18"/>
      </w:rPr>
      <w:t>Để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biết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thêm</w:t>
    </w:r>
    <w:proofErr w:type="spellEnd"/>
    <w:r w:rsidRPr="00120C48">
      <w:rPr>
        <w:sz w:val="18"/>
      </w:rPr>
      <w:t xml:space="preserve"> chi </w:t>
    </w:r>
    <w:proofErr w:type="spellStart"/>
    <w:r w:rsidRPr="00120C48">
      <w:rPr>
        <w:sz w:val="18"/>
      </w:rPr>
      <w:t>tiết</w:t>
    </w:r>
    <w:proofErr w:type="spellEnd"/>
    <w:r w:rsidRPr="00120C48">
      <w:rPr>
        <w:sz w:val="18"/>
      </w:rPr>
      <w:t xml:space="preserve">, </w:t>
    </w:r>
    <w:proofErr w:type="spellStart"/>
    <w:r w:rsidRPr="00120C48">
      <w:rPr>
        <w:sz w:val="18"/>
      </w:rPr>
      <w:t>Quý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độc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giả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vui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lòng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liên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hệ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đường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dây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tư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vấn</w:t>
    </w:r>
    <w:proofErr w:type="spellEnd"/>
    <w:r w:rsidRPr="00120C48">
      <w:rPr>
        <w:sz w:val="18"/>
      </w:rPr>
      <w:t xml:space="preserve"> </w:t>
    </w:r>
    <w:proofErr w:type="spellStart"/>
    <w:r w:rsidRPr="00120C48">
      <w:rPr>
        <w:sz w:val="18"/>
      </w:rPr>
      <w:t>số</w:t>
    </w:r>
    <w:proofErr w:type="spellEnd"/>
    <w:r w:rsidRPr="00120C48">
      <w:rPr>
        <w:sz w:val="18"/>
      </w:rPr>
      <w:t xml:space="preserve"> </w:t>
    </w:r>
    <w:r w:rsidRPr="00120C48">
      <w:rPr>
        <w:rFonts w:ascii="MS Mincho" w:eastAsia="MS Mincho" w:hAnsi="MS Mincho" w:cs="MS Mincho" w:hint="eastAsia"/>
        <w:noProof/>
        <w:sz w:val="18"/>
      </w:rPr>
      <w:drawing>
        <wp:inline distT="0" distB="0" distL="0" distR="0">
          <wp:extent cx="228600" cy="149844"/>
          <wp:effectExtent l="0" t="0" r="0" b="0"/>
          <wp:docPr id="8" name="Picture 1" descr="C:\Users\hp\AppData\Local\Microsoft\Windows\Temporary Internet Files\Content.IE5\0KRFGCU1\1280px-Black_telephone_icon_from_DejaVu_Sans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IE5\0KRFGCU1\1280px-Black_telephone_icon_from_DejaVu_Sans.svg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2508" cy="152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0225 3</w:t>
    </w:r>
    <w:r w:rsidRPr="00120C48">
      <w:rPr>
        <w:sz w:val="18"/>
      </w:rPr>
      <w:t xml:space="preserve">250 250 </w:t>
    </w:r>
    <w:proofErr w:type="spellStart"/>
    <w:r w:rsidRPr="00120C48">
      <w:rPr>
        <w:sz w:val="18"/>
      </w:rPr>
      <w:t>hoặc</w:t>
    </w:r>
    <w:proofErr w:type="spellEnd"/>
    <w:r w:rsidRPr="00120C48">
      <w:rPr>
        <w:sz w:val="18"/>
      </w:rPr>
      <w:t xml:space="preserve"> infotaiviet@gmail.com.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C0" w:rsidRDefault="004C21C0" w:rsidP="0070176B">
      <w:pPr>
        <w:spacing w:after="0" w:line="240" w:lineRule="auto"/>
      </w:pPr>
      <w:r>
        <w:separator/>
      </w:r>
    </w:p>
  </w:footnote>
  <w:footnote w:type="continuationSeparator" w:id="0">
    <w:p w:rsidR="004C21C0" w:rsidRDefault="004C21C0" w:rsidP="0070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FB" w:rsidRDefault="003076FB"/>
  <w:p w:rsidR="003076FB" w:rsidRDefault="003076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FB" w:rsidRDefault="003076FB" w:rsidP="0070176B">
    <w:pPr>
      <w:pStyle w:val="Header"/>
      <w:rPr>
        <w:rFonts w:ascii="Arial Black" w:hAnsi="Arial Black"/>
        <w:b/>
        <w:i/>
        <w:color w:val="FF0000"/>
      </w:rPr>
    </w:pPr>
  </w:p>
  <w:p w:rsidR="003076FB" w:rsidRDefault="003076FB" w:rsidP="0070176B">
    <w:pPr>
      <w:pStyle w:val="Header"/>
      <w:rPr>
        <w:rFonts w:ascii="Arial Black" w:hAnsi="Arial Black"/>
        <w:b/>
        <w:i/>
        <w:color w:val="FF0000"/>
      </w:rPr>
    </w:pPr>
  </w:p>
  <w:p w:rsidR="00BE494E" w:rsidRDefault="00BE494E" w:rsidP="0070176B">
    <w:pPr>
      <w:pStyle w:val="Header"/>
      <w:rPr>
        <w:rFonts w:ascii="Arial Black" w:hAnsi="Arial Black"/>
        <w:b/>
        <w:i/>
        <w:color w:val="FF0000"/>
      </w:rPr>
    </w:pPr>
  </w:p>
  <w:p w:rsidR="003076FB" w:rsidRDefault="003076FB" w:rsidP="0070176B">
    <w:pPr>
      <w:pStyle w:val="Header"/>
      <w:jc w:val="right"/>
      <w:rPr>
        <w:rFonts w:ascii="Arial Black" w:hAnsi="Arial Black"/>
        <w:b/>
        <w:i/>
        <w:color w:val="FF0000"/>
      </w:rPr>
    </w:pPr>
    <w:r w:rsidRPr="0070176B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1045029</wp:posOffset>
          </wp:positionH>
          <wp:positionV relativeFrom="page">
            <wp:posOffset>446314</wp:posOffset>
          </wp:positionV>
          <wp:extent cx="5791200" cy="805543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176B">
      <w:rPr>
        <w:rFonts w:ascii="Arial Black" w:hAnsi="Arial Black"/>
        <w:b/>
        <w:i/>
        <w:color w:val="FF0000"/>
      </w:rPr>
      <w:t>YOU’RE SMOOTH, YOU’RE SAVING</w:t>
    </w:r>
  </w:p>
  <w:p w:rsidR="003076FB" w:rsidRPr="0070176B" w:rsidRDefault="003076FB" w:rsidP="007017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7D1"/>
    <w:multiLevelType w:val="hybridMultilevel"/>
    <w:tmpl w:val="9F32AD46"/>
    <w:lvl w:ilvl="0" w:tplc="8078E060">
      <w:start w:val="1"/>
      <w:numFmt w:val="bullet"/>
      <w:lvlText w:val="-"/>
      <w:lvlJc w:val="left"/>
      <w:pPr>
        <w:ind w:left="816" w:hanging="360"/>
      </w:pPr>
      <w:rPr>
        <w:rFonts w:ascii="Segoe UI" w:eastAsia="Times New Roman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17705DFF"/>
    <w:multiLevelType w:val="hybridMultilevel"/>
    <w:tmpl w:val="B8F055D2"/>
    <w:lvl w:ilvl="0" w:tplc="1FF090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5E0"/>
    <w:multiLevelType w:val="hybridMultilevel"/>
    <w:tmpl w:val="3ECC95A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507A2E5C"/>
    <w:multiLevelType w:val="hybridMultilevel"/>
    <w:tmpl w:val="5922FD16"/>
    <w:lvl w:ilvl="0" w:tplc="8078E060">
      <w:start w:val="1"/>
      <w:numFmt w:val="bullet"/>
      <w:lvlText w:val="-"/>
      <w:lvlJc w:val="left"/>
      <w:pPr>
        <w:ind w:left="816" w:hanging="360"/>
      </w:pPr>
      <w:rPr>
        <w:rFonts w:ascii="Segoe UI" w:eastAsia="Times New Roman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54034194"/>
    <w:multiLevelType w:val="hybridMultilevel"/>
    <w:tmpl w:val="3F7CDF98"/>
    <w:lvl w:ilvl="0" w:tplc="8078E06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17765"/>
    <w:multiLevelType w:val="hybridMultilevel"/>
    <w:tmpl w:val="5344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B"/>
    <w:rsid w:val="00050083"/>
    <w:rsid w:val="00062AE1"/>
    <w:rsid w:val="00090FAD"/>
    <w:rsid w:val="000E6BA1"/>
    <w:rsid w:val="001037B8"/>
    <w:rsid w:val="00120C48"/>
    <w:rsid w:val="001531E6"/>
    <w:rsid w:val="00174E39"/>
    <w:rsid w:val="001A34C5"/>
    <w:rsid w:val="001B460C"/>
    <w:rsid w:val="002010F5"/>
    <w:rsid w:val="00223E14"/>
    <w:rsid w:val="003076FB"/>
    <w:rsid w:val="0031208C"/>
    <w:rsid w:val="00313EC8"/>
    <w:rsid w:val="003A443F"/>
    <w:rsid w:val="00444B56"/>
    <w:rsid w:val="004C21C0"/>
    <w:rsid w:val="00560E47"/>
    <w:rsid w:val="005615C9"/>
    <w:rsid w:val="00575D85"/>
    <w:rsid w:val="005D4029"/>
    <w:rsid w:val="00666394"/>
    <w:rsid w:val="00685558"/>
    <w:rsid w:val="00686360"/>
    <w:rsid w:val="0070176B"/>
    <w:rsid w:val="00790092"/>
    <w:rsid w:val="007A56AC"/>
    <w:rsid w:val="007C1B52"/>
    <w:rsid w:val="008B32C5"/>
    <w:rsid w:val="008B46C9"/>
    <w:rsid w:val="00953FCF"/>
    <w:rsid w:val="00966446"/>
    <w:rsid w:val="00AD4EBD"/>
    <w:rsid w:val="00AD71CB"/>
    <w:rsid w:val="00B057E3"/>
    <w:rsid w:val="00B52847"/>
    <w:rsid w:val="00BA465D"/>
    <w:rsid w:val="00BE494E"/>
    <w:rsid w:val="00C71D0F"/>
    <w:rsid w:val="00C84366"/>
    <w:rsid w:val="00CB270F"/>
    <w:rsid w:val="00CC5D61"/>
    <w:rsid w:val="00D05FE3"/>
    <w:rsid w:val="00D23832"/>
    <w:rsid w:val="00D7172E"/>
    <w:rsid w:val="00D9133C"/>
    <w:rsid w:val="00DE0F07"/>
    <w:rsid w:val="00E47484"/>
    <w:rsid w:val="00F937A5"/>
    <w:rsid w:val="00FF4476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6B"/>
  </w:style>
  <w:style w:type="paragraph" w:styleId="Footer">
    <w:name w:val="footer"/>
    <w:basedOn w:val="Normal"/>
    <w:link w:val="FooterChar"/>
    <w:uiPriority w:val="99"/>
    <w:unhideWhenUsed/>
    <w:rsid w:val="0070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6B"/>
  </w:style>
  <w:style w:type="paragraph" w:styleId="BalloonText">
    <w:name w:val="Balloon Text"/>
    <w:basedOn w:val="Normal"/>
    <w:link w:val="BalloonTextChar"/>
    <w:uiPriority w:val="99"/>
    <w:semiHidden/>
    <w:unhideWhenUsed/>
    <w:rsid w:val="0070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476"/>
  </w:style>
  <w:style w:type="character" w:styleId="Hyperlink">
    <w:name w:val="Hyperlink"/>
    <w:basedOn w:val="DefaultParagraphFont"/>
    <w:uiPriority w:val="99"/>
    <w:unhideWhenUsed/>
    <w:rsid w:val="00FF4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5C9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AD4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6B"/>
  </w:style>
  <w:style w:type="paragraph" w:styleId="Footer">
    <w:name w:val="footer"/>
    <w:basedOn w:val="Normal"/>
    <w:link w:val="FooterChar"/>
    <w:uiPriority w:val="99"/>
    <w:unhideWhenUsed/>
    <w:rsid w:val="0070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6B"/>
  </w:style>
  <w:style w:type="paragraph" w:styleId="BalloonText">
    <w:name w:val="Balloon Text"/>
    <w:basedOn w:val="Normal"/>
    <w:link w:val="BalloonTextChar"/>
    <w:uiPriority w:val="99"/>
    <w:semiHidden/>
    <w:unhideWhenUsed/>
    <w:rsid w:val="0070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476"/>
  </w:style>
  <w:style w:type="character" w:styleId="Hyperlink">
    <w:name w:val="Hyperlink"/>
    <w:basedOn w:val="DefaultParagraphFont"/>
    <w:uiPriority w:val="99"/>
    <w:unhideWhenUsed/>
    <w:rsid w:val="00FF4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5C9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AD4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uvienphapluat.vn/van-ban/Doanh-nghiep/Nghi-dinh-20-2017-ND-CP-quan-ly-thue-doi-voi-doanh-nghiep-co-giao-dich-lien-ket-340892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huvienphapluat.vn/phap-luat/tim-van-ban.aspx?keyword=117/2012/TT-BTC&amp;area=2&amp;type=0&amp;match=False&amp;vc=True&amp;lan=1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huvienphapluat.vn/phap-luat/tim-van-ban.aspx?keyword=51/2017/TT-BTC&amp;area=2&amp;type=0&amp;match=False&amp;vc=True&amp;la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A87F4-41A7-4530-BC91-B1A0A20F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2017-06-12T07:42:00Z</dcterms:created>
  <dcterms:modified xsi:type="dcterms:W3CDTF">2017-06-14T05:43:00Z</dcterms:modified>
</cp:coreProperties>
</file>