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F" w:rsidRPr="006D663F" w:rsidRDefault="006D663F" w:rsidP="006D663F">
      <w:pPr>
        <w:shd w:val="clear" w:color="auto" w:fill="FFFFFF"/>
        <w:spacing w:before="150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  <w:lang w:val="vi-VN"/>
        </w:rPr>
      </w:pP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Phân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biệt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chính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sách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hỗ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trợ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người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proofErr w:type="gram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lao</w:t>
      </w:r>
      <w:proofErr w:type="spellEnd"/>
      <w:proofErr w:type="gram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động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theo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Nghị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quyết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68 </w:t>
      </w:r>
      <w:proofErr w:type="spellStart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>và</w:t>
      </w:r>
      <w:proofErr w:type="spellEnd"/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</w:rPr>
        <w:t xml:space="preserve"> 116</w:t>
      </w:r>
      <w:r w:rsidRPr="006D663F">
        <w:rPr>
          <w:rFonts w:ascii="Times New Roman" w:eastAsia="Times New Roman" w:hAnsi="Times New Roman" w:cs="Times New Roman"/>
          <w:b/>
          <w:bCs/>
          <w:color w:val="4C4947"/>
          <w:kern w:val="36"/>
          <w:sz w:val="28"/>
          <w:szCs w:val="28"/>
          <w:lang w:val="vi-VN"/>
        </w:rPr>
        <w:t xml:space="preserve"> do Chính phủ ban hành</w:t>
      </w:r>
    </w:p>
    <w:p w:rsidR="006D663F" w:rsidRPr="006D663F" w:rsidRDefault="006D66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5336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xy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08DC" w:rsidRPr="006D663F" w:rsidRDefault="006D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55810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y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3F" w:rsidRPr="006D663F" w:rsidRDefault="006D663F">
      <w:pPr>
        <w:rPr>
          <w:rFonts w:ascii="Times New Roman" w:hAnsi="Times New Roman" w:cs="Times New Roman"/>
          <w:sz w:val="28"/>
          <w:szCs w:val="28"/>
        </w:rPr>
      </w:pPr>
    </w:p>
    <w:p w:rsidR="006D663F" w:rsidRPr="006D663F" w:rsidRDefault="006D663F">
      <w:pPr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  <w:lang w:val="vi-VN"/>
        </w:rPr>
      </w:pP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Như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vậy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,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điểm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khác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biệt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rõ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ràng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giữa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hai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Nghị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quyết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này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 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là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Nghị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quyết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116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áp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dụng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với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người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lao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động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đủ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điều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kiện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nhận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trợ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cấp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thất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nghiệp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nhưng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chưa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nhận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 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còn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Nghị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quyết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68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áp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dụng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với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người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lao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động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tạm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hoãn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hợp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đồng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lao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động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,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nghỉ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việc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không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hưởng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lương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,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ngừng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việc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,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chấm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dứt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hợp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đồng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lao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động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hoặc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lao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động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tự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do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cùng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điều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kiện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cụ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thể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của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từng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đối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 xml:space="preserve"> </w:t>
      </w:r>
      <w:proofErr w:type="spellStart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</w:rPr>
        <w:t>tượn</w:t>
      </w:r>
      <w:proofErr w:type="spellEnd"/>
      <w:r w:rsidRPr="006D663F">
        <w:rPr>
          <w:rFonts w:ascii="Times New Roman" w:hAnsi="Times New Roman" w:cs="Times New Roman"/>
          <w:color w:val="4C4947"/>
          <w:sz w:val="28"/>
          <w:szCs w:val="28"/>
          <w:shd w:val="clear" w:color="auto" w:fill="FFFFFF"/>
          <w:lang w:val="vi-VN"/>
        </w:rPr>
        <w:t>g.</w:t>
      </w:r>
    </w:p>
    <w:p w:rsidR="006D663F" w:rsidRPr="006D663F" w:rsidRDefault="006D663F" w:rsidP="006D663F">
      <w:pPr>
        <w:ind w:left="576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6D663F">
        <w:rPr>
          <w:rFonts w:ascii="Times New Roman" w:hAnsi="Times New Roman" w:cs="Times New Roman"/>
          <w:b/>
          <w:i/>
          <w:color w:val="4C4947"/>
          <w:sz w:val="28"/>
          <w:szCs w:val="28"/>
          <w:shd w:val="clear" w:color="auto" w:fill="FFFFFF"/>
          <w:lang w:val="vi-VN"/>
        </w:rPr>
        <w:t>*Tài Việt sưu tầm</w:t>
      </w:r>
    </w:p>
    <w:sectPr w:rsidR="006D663F" w:rsidRPr="006D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F"/>
    <w:rsid w:val="00291F3B"/>
    <w:rsid w:val="006D663F"/>
    <w:rsid w:val="00C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551445-D7E8-4346-BD19-5CA1055D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6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Phân biệt chính sách hỗ trợ người lao động theo Nghị quyết 68 và 116 do Chính ph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1</cp:revision>
  <dcterms:created xsi:type="dcterms:W3CDTF">2021-10-03T12:57:00Z</dcterms:created>
  <dcterms:modified xsi:type="dcterms:W3CDTF">2021-10-03T13:06:00Z</dcterms:modified>
</cp:coreProperties>
</file>