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738"/>
        <w:gridCol w:w="90"/>
        <w:gridCol w:w="2684"/>
        <w:gridCol w:w="16"/>
        <w:gridCol w:w="4140"/>
        <w:gridCol w:w="2808"/>
      </w:tblGrid>
      <w:tr w:rsidR="0070176B" w:rsidTr="00742074">
        <w:trPr>
          <w:trHeight w:val="1094"/>
        </w:trPr>
        <w:tc>
          <w:tcPr>
            <w:tcW w:w="3512" w:type="dxa"/>
            <w:gridSpan w:val="3"/>
            <w:tcBorders>
              <w:right w:val="single" w:sz="4" w:space="0" w:color="auto"/>
            </w:tcBorders>
            <w:shd w:val="clear" w:color="auto" w:fill="E20000"/>
            <w:vAlign w:val="center"/>
          </w:tcPr>
          <w:p w:rsidR="0070176B" w:rsidRPr="00742074" w:rsidRDefault="0070176B" w:rsidP="00742074">
            <w:pPr>
              <w:jc w:val="center"/>
              <w:rPr>
                <w:b/>
                <w:color w:val="FFFFFF" w:themeColor="background1"/>
                <w:sz w:val="28"/>
                <w:szCs w:val="28"/>
              </w:rPr>
            </w:pPr>
            <w:r w:rsidRPr="00742074">
              <w:rPr>
                <w:b/>
                <w:color w:val="FFFFFF" w:themeColor="background1"/>
                <w:sz w:val="28"/>
                <w:szCs w:val="28"/>
              </w:rPr>
              <w:t>BẢN TIN THUẾ</w:t>
            </w:r>
          </w:p>
          <w:p w:rsidR="0070176B" w:rsidRPr="00742074" w:rsidRDefault="00A05673" w:rsidP="00742074">
            <w:pPr>
              <w:jc w:val="center"/>
              <w:rPr>
                <w:b/>
                <w:color w:val="FFFFFF" w:themeColor="background1"/>
                <w:sz w:val="28"/>
                <w:szCs w:val="28"/>
              </w:rPr>
            </w:pPr>
            <w:r>
              <w:rPr>
                <w:rFonts w:ascii="Arial" w:hAnsi="Arial" w:cs="Arial"/>
                <w:noProof/>
                <w:sz w:val="24"/>
                <w:szCs w:val="24"/>
              </w:rPr>
              <w:drawing>
                <wp:anchor distT="0" distB="0" distL="114300" distR="114300" simplePos="0" relativeHeight="251666432" behindDoc="0" locked="0" layoutInCell="1" allowOverlap="1" wp14:anchorId="32B9164D" wp14:editId="01994724">
                  <wp:simplePos x="0" y="0"/>
                  <wp:positionH relativeFrom="column">
                    <wp:posOffset>304165</wp:posOffset>
                  </wp:positionH>
                  <wp:positionV relativeFrom="paragraph">
                    <wp:posOffset>127000</wp:posOffset>
                  </wp:positionV>
                  <wp:extent cx="5843270" cy="8181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5843270" cy="8181340"/>
                          </a:xfrm>
                          <a:prstGeom prst="rect">
                            <a:avLst/>
                          </a:prstGeom>
                        </pic:spPr>
                      </pic:pic>
                    </a:graphicData>
                  </a:graphic>
                  <wp14:sizeRelH relativeFrom="page">
                    <wp14:pctWidth>0</wp14:pctWidth>
                  </wp14:sizeRelH>
                  <wp14:sizeRelV relativeFrom="page">
                    <wp14:pctHeight>0</wp14:pctHeight>
                  </wp14:sizeRelV>
                </wp:anchor>
              </w:drawing>
            </w:r>
            <w:r w:rsidR="0070176B" w:rsidRPr="00742074">
              <w:rPr>
                <w:b/>
                <w:color w:val="FFFFFF" w:themeColor="background1"/>
                <w:sz w:val="28"/>
                <w:szCs w:val="28"/>
              </w:rPr>
              <w:t>Số</w:t>
            </w:r>
            <w:r w:rsidR="008C46CE">
              <w:rPr>
                <w:b/>
                <w:color w:val="FFFFFF" w:themeColor="background1"/>
                <w:sz w:val="28"/>
                <w:szCs w:val="28"/>
              </w:rPr>
              <w:t xml:space="preserve"> 21</w:t>
            </w:r>
            <w:r w:rsidR="0070176B" w:rsidRPr="00742074">
              <w:rPr>
                <w:b/>
                <w:color w:val="FFFFFF" w:themeColor="background1"/>
                <w:sz w:val="28"/>
                <w:szCs w:val="28"/>
              </w:rPr>
              <w:t>17</w:t>
            </w:r>
          </w:p>
          <w:p w:rsidR="0070176B" w:rsidRPr="00742074" w:rsidRDefault="008C46CE" w:rsidP="00742074">
            <w:pPr>
              <w:jc w:val="center"/>
              <w:rPr>
                <w:sz w:val="28"/>
                <w:szCs w:val="28"/>
              </w:rPr>
            </w:pPr>
            <w:r>
              <w:rPr>
                <w:b/>
                <w:color w:val="FFFFFF" w:themeColor="background1"/>
                <w:sz w:val="28"/>
                <w:szCs w:val="28"/>
              </w:rPr>
              <w:t>(29/05- 03/06</w:t>
            </w:r>
            <w:r w:rsidR="00A833A2" w:rsidRPr="00742074">
              <w:rPr>
                <w:b/>
                <w:color w:val="FFFFFF" w:themeColor="background1"/>
                <w:sz w:val="28"/>
                <w:szCs w:val="28"/>
              </w:rPr>
              <w:t>)</w:t>
            </w:r>
          </w:p>
        </w:tc>
        <w:tc>
          <w:tcPr>
            <w:tcW w:w="4156" w:type="dxa"/>
            <w:gridSpan w:val="2"/>
            <w:tcBorders>
              <w:top w:val="single" w:sz="4" w:space="0" w:color="auto"/>
              <w:left w:val="single" w:sz="4" w:space="0" w:color="auto"/>
              <w:bottom w:val="single" w:sz="4" w:space="0" w:color="auto"/>
              <w:right w:val="nil"/>
            </w:tcBorders>
            <w:shd w:val="clear" w:color="auto" w:fill="E20000"/>
            <w:vAlign w:val="center"/>
          </w:tcPr>
          <w:p w:rsidR="0070176B" w:rsidRPr="00742074" w:rsidRDefault="0070176B" w:rsidP="0070176B">
            <w:pPr>
              <w:rPr>
                <w:b/>
                <w:color w:val="FFFFFF" w:themeColor="background1"/>
                <w:sz w:val="28"/>
                <w:szCs w:val="28"/>
              </w:rPr>
            </w:pPr>
            <w:r w:rsidRPr="00742074">
              <w:rPr>
                <w:b/>
                <w:color w:val="FFFFFF" w:themeColor="background1"/>
                <w:sz w:val="28"/>
                <w:szCs w:val="28"/>
              </w:rPr>
              <w:t>Nội dung</w:t>
            </w:r>
          </w:p>
          <w:p w:rsidR="0070176B" w:rsidRPr="00742074" w:rsidRDefault="0070176B" w:rsidP="0070176B">
            <w:pPr>
              <w:rPr>
                <w:b/>
                <w:color w:val="FFFFFF" w:themeColor="background1"/>
                <w:sz w:val="28"/>
                <w:szCs w:val="28"/>
              </w:rPr>
            </w:pPr>
            <w:r w:rsidRPr="00742074">
              <w:rPr>
                <w:b/>
                <w:color w:val="FFFFFF" w:themeColor="background1"/>
                <w:sz w:val="28"/>
                <w:szCs w:val="28"/>
              </w:rPr>
              <w:t>VĂN BẢN PHÁP LÝ VỀ THUẾ</w:t>
            </w:r>
          </w:p>
          <w:p w:rsidR="0070176B" w:rsidRPr="00742074" w:rsidRDefault="0070176B" w:rsidP="0070176B">
            <w:pPr>
              <w:rPr>
                <w:b/>
                <w:color w:val="FFFFFF" w:themeColor="background1"/>
                <w:sz w:val="28"/>
                <w:szCs w:val="28"/>
              </w:rPr>
            </w:pPr>
            <w:r w:rsidRPr="00742074">
              <w:rPr>
                <w:b/>
                <w:color w:val="FFFFFF" w:themeColor="background1"/>
                <w:sz w:val="28"/>
                <w:szCs w:val="28"/>
              </w:rPr>
              <w:t>VẤN ĐỀ CẦN LƯU Ý</w:t>
            </w:r>
          </w:p>
        </w:tc>
        <w:tc>
          <w:tcPr>
            <w:tcW w:w="2808" w:type="dxa"/>
            <w:tcBorders>
              <w:top w:val="single" w:sz="4" w:space="0" w:color="auto"/>
              <w:left w:val="nil"/>
              <w:bottom w:val="single" w:sz="4" w:space="0" w:color="auto"/>
              <w:right w:val="single" w:sz="4" w:space="0" w:color="auto"/>
            </w:tcBorders>
            <w:shd w:val="clear" w:color="auto" w:fill="E20000"/>
            <w:vAlign w:val="center"/>
          </w:tcPr>
          <w:p w:rsidR="0070176B" w:rsidRPr="00742074" w:rsidRDefault="0070176B" w:rsidP="0070176B">
            <w:pPr>
              <w:jc w:val="right"/>
              <w:rPr>
                <w:b/>
                <w:color w:val="FFFFFF" w:themeColor="background1"/>
                <w:sz w:val="28"/>
                <w:szCs w:val="28"/>
              </w:rPr>
            </w:pPr>
            <w:r w:rsidRPr="00742074">
              <w:rPr>
                <w:b/>
                <w:color w:val="FFFFFF" w:themeColor="background1"/>
                <w:sz w:val="28"/>
                <w:szCs w:val="28"/>
              </w:rPr>
              <w:t>Trang</w:t>
            </w:r>
          </w:p>
          <w:p w:rsidR="0070176B" w:rsidRPr="00742074" w:rsidRDefault="0070176B" w:rsidP="0070176B">
            <w:pPr>
              <w:jc w:val="right"/>
              <w:rPr>
                <w:b/>
                <w:color w:val="FFFFFF" w:themeColor="background1"/>
                <w:sz w:val="28"/>
                <w:szCs w:val="28"/>
              </w:rPr>
            </w:pPr>
            <w:r w:rsidRPr="00742074">
              <w:rPr>
                <w:b/>
                <w:color w:val="FFFFFF" w:themeColor="background1"/>
                <w:sz w:val="28"/>
                <w:szCs w:val="28"/>
              </w:rPr>
              <w:t>1</w:t>
            </w:r>
          </w:p>
          <w:p w:rsidR="0070176B" w:rsidRPr="00742074" w:rsidRDefault="0070176B" w:rsidP="0070176B">
            <w:pPr>
              <w:jc w:val="right"/>
              <w:rPr>
                <w:b/>
                <w:color w:val="FFFFFF" w:themeColor="background1"/>
                <w:sz w:val="28"/>
                <w:szCs w:val="28"/>
              </w:rPr>
            </w:pPr>
            <w:r w:rsidRPr="00742074">
              <w:rPr>
                <w:b/>
                <w:color w:val="FFFFFF" w:themeColor="background1"/>
                <w:sz w:val="28"/>
                <w:szCs w:val="28"/>
              </w:rPr>
              <w:t>2</w:t>
            </w:r>
          </w:p>
        </w:tc>
      </w:tr>
      <w:tr w:rsidR="00DD0459" w:rsidTr="00DD0459">
        <w:trPr>
          <w:trHeight w:val="369"/>
        </w:trPr>
        <w:tc>
          <w:tcPr>
            <w:tcW w:w="828" w:type="dxa"/>
            <w:gridSpan w:val="2"/>
          </w:tcPr>
          <w:p w:rsidR="00DD0459" w:rsidRPr="00742074" w:rsidRDefault="00DD0459" w:rsidP="0070176B">
            <w:pPr>
              <w:ind w:left="-90"/>
              <w:rPr>
                <w:sz w:val="28"/>
                <w:szCs w:val="28"/>
              </w:rPr>
            </w:pPr>
            <w:r w:rsidRPr="00742074">
              <w:rPr>
                <w:noProof/>
                <w:sz w:val="28"/>
                <w:szCs w:val="28"/>
              </w:rPr>
              <w:drawing>
                <wp:inline distT="0" distB="0" distL="0" distR="0" wp14:anchorId="7376EE3A" wp14:editId="349E2C85">
                  <wp:extent cx="459921" cy="413657"/>
                  <wp:effectExtent l="19050" t="0" r="0" b="0"/>
                  <wp:docPr id="2" name="Picture 1" descr="C:\Users\hp\Pictures\Th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Thue.png"/>
                          <pic:cNvPicPr>
                            <a:picLocks noChangeAspect="1" noChangeArrowheads="1"/>
                          </pic:cNvPicPr>
                        </pic:nvPicPr>
                        <pic:blipFill>
                          <a:blip r:embed="rId9" cstate="print"/>
                          <a:srcRect l="8649"/>
                          <a:stretch>
                            <a:fillRect/>
                          </a:stretch>
                        </pic:blipFill>
                        <pic:spPr bwMode="auto">
                          <a:xfrm>
                            <a:off x="0" y="0"/>
                            <a:ext cx="459921" cy="413657"/>
                          </a:xfrm>
                          <a:prstGeom prst="rect">
                            <a:avLst/>
                          </a:prstGeom>
                          <a:noFill/>
                          <a:ln w="9525">
                            <a:noFill/>
                            <a:miter lim="800000"/>
                            <a:headEnd/>
                            <a:tailEnd/>
                          </a:ln>
                        </pic:spPr>
                      </pic:pic>
                    </a:graphicData>
                  </a:graphic>
                </wp:inline>
              </w:drawing>
            </w:r>
          </w:p>
        </w:tc>
        <w:tc>
          <w:tcPr>
            <w:tcW w:w="9648" w:type="dxa"/>
            <w:gridSpan w:val="4"/>
            <w:shd w:val="clear" w:color="auto" w:fill="E20000"/>
            <w:vAlign w:val="center"/>
          </w:tcPr>
          <w:p w:rsidR="00DD0459" w:rsidRPr="00742074" w:rsidRDefault="00DD0459" w:rsidP="0070176B">
            <w:pPr>
              <w:jc w:val="center"/>
              <w:rPr>
                <w:b/>
                <w:color w:val="FFFFFF" w:themeColor="background1"/>
                <w:sz w:val="28"/>
                <w:szCs w:val="28"/>
              </w:rPr>
            </w:pPr>
            <w:r w:rsidRPr="00742074">
              <w:rPr>
                <w:b/>
                <w:color w:val="FFFFFF" w:themeColor="background1"/>
                <w:sz w:val="28"/>
                <w:szCs w:val="28"/>
              </w:rPr>
              <w:t>VĂN BẢN PHÁP LÝ VỀ THUẾ</w:t>
            </w:r>
          </w:p>
        </w:tc>
      </w:tr>
      <w:tr w:rsidR="0070176B" w:rsidTr="008B32C5">
        <w:trPr>
          <w:trHeight w:val="701"/>
        </w:trPr>
        <w:tc>
          <w:tcPr>
            <w:tcW w:w="3512" w:type="dxa"/>
            <w:gridSpan w:val="3"/>
            <w:shd w:val="clear" w:color="auto" w:fill="92D050"/>
          </w:tcPr>
          <w:p w:rsidR="00ED141F" w:rsidRPr="00E832AE" w:rsidRDefault="00CA6E2C" w:rsidP="00E832AE">
            <w:pPr>
              <w:jc w:val="right"/>
              <w:rPr>
                <w:rFonts w:ascii="Arial" w:hAnsi="Arial" w:cs="Arial"/>
                <w:sz w:val="24"/>
                <w:szCs w:val="24"/>
              </w:rPr>
            </w:pPr>
            <w:r w:rsidRPr="00E832AE">
              <w:rPr>
                <w:rFonts w:ascii="Arial" w:hAnsi="Arial" w:cs="Arial"/>
                <w:sz w:val="24"/>
                <w:szCs w:val="24"/>
              </w:rPr>
              <w:t>Công văn s</w:t>
            </w:r>
            <w:r w:rsidR="00A833A2" w:rsidRPr="00E832AE">
              <w:rPr>
                <w:rFonts w:ascii="Arial" w:hAnsi="Arial" w:cs="Arial"/>
                <w:sz w:val="24"/>
                <w:szCs w:val="24"/>
              </w:rPr>
              <w:t>ố</w:t>
            </w:r>
            <w:r w:rsidR="00ED141F" w:rsidRPr="00E832AE">
              <w:rPr>
                <w:rFonts w:ascii="Arial" w:hAnsi="Arial" w:cs="Arial"/>
                <w:sz w:val="24"/>
                <w:szCs w:val="24"/>
              </w:rPr>
              <w:t xml:space="preserve"> 2386/TCT-DNL</w:t>
            </w:r>
          </w:p>
          <w:p w:rsidR="00ED141F" w:rsidRPr="00E832AE" w:rsidRDefault="00ED141F" w:rsidP="00E832AE">
            <w:pPr>
              <w:jc w:val="right"/>
              <w:rPr>
                <w:rFonts w:ascii="Arial" w:hAnsi="Arial" w:cs="Arial"/>
                <w:sz w:val="24"/>
                <w:szCs w:val="24"/>
              </w:rPr>
            </w:pPr>
            <w:r w:rsidRPr="00E832AE">
              <w:rPr>
                <w:rFonts w:ascii="Arial" w:hAnsi="Arial" w:cs="Arial"/>
                <w:sz w:val="24"/>
                <w:szCs w:val="24"/>
              </w:rPr>
              <w:t>ngày 02 tháng 06 năm 2017</w:t>
            </w:r>
          </w:p>
          <w:p w:rsidR="00A833A2" w:rsidRPr="00E832AE" w:rsidRDefault="008C46CE" w:rsidP="00E832AE">
            <w:pPr>
              <w:jc w:val="right"/>
              <w:rPr>
                <w:rFonts w:ascii="Arial" w:hAnsi="Arial" w:cs="Arial"/>
                <w:sz w:val="24"/>
                <w:szCs w:val="24"/>
              </w:rPr>
            </w:pPr>
            <w:r w:rsidRPr="00E832AE">
              <w:rPr>
                <w:rFonts w:ascii="Arial" w:hAnsi="Arial" w:cs="Arial"/>
                <w:sz w:val="24"/>
                <w:szCs w:val="24"/>
              </w:rPr>
              <w:t>do Tổng cục Thuế ban hành</w:t>
            </w:r>
          </w:p>
        </w:tc>
        <w:tc>
          <w:tcPr>
            <w:tcW w:w="6964" w:type="dxa"/>
            <w:gridSpan w:val="3"/>
            <w:shd w:val="clear" w:color="auto" w:fill="FFFFFF" w:themeFill="background1"/>
            <w:vAlign w:val="center"/>
          </w:tcPr>
          <w:p w:rsidR="0070176B" w:rsidRPr="008C46CE" w:rsidRDefault="008C46CE" w:rsidP="00E832AE">
            <w:pPr>
              <w:spacing w:before="240"/>
              <w:rPr>
                <w:rFonts w:ascii="Arial" w:hAnsi="Arial" w:cs="Arial"/>
                <w:sz w:val="24"/>
                <w:szCs w:val="24"/>
              </w:rPr>
            </w:pPr>
            <w:r w:rsidRPr="008C46CE">
              <w:rPr>
                <w:rFonts w:ascii="Arial" w:hAnsi="Arial" w:cs="Arial"/>
                <w:sz w:val="24"/>
                <w:szCs w:val="24"/>
              </w:rPr>
              <w:t>V</w:t>
            </w:r>
            <w:r w:rsidR="00ED141F" w:rsidRPr="008C46CE">
              <w:rPr>
                <w:rFonts w:ascii="Arial" w:hAnsi="Arial" w:cs="Arial"/>
                <w:sz w:val="24"/>
                <w:szCs w:val="24"/>
              </w:rPr>
              <w:t>iệc hoàn thuế giá trị gia tăng đối với dự án đầu tư </w:t>
            </w:r>
          </w:p>
        </w:tc>
      </w:tr>
      <w:tr w:rsidR="00E96369" w:rsidTr="008B32C5">
        <w:trPr>
          <w:trHeight w:val="701"/>
        </w:trPr>
        <w:tc>
          <w:tcPr>
            <w:tcW w:w="3512" w:type="dxa"/>
            <w:gridSpan w:val="3"/>
            <w:shd w:val="clear" w:color="auto" w:fill="92D050"/>
          </w:tcPr>
          <w:p w:rsidR="00ED141F" w:rsidRPr="00E832AE" w:rsidRDefault="00CA6E2C" w:rsidP="00E832AE">
            <w:pPr>
              <w:jc w:val="right"/>
              <w:rPr>
                <w:rFonts w:ascii="Arial" w:hAnsi="Arial" w:cs="Arial"/>
                <w:sz w:val="24"/>
                <w:szCs w:val="24"/>
              </w:rPr>
            </w:pPr>
            <w:r w:rsidRPr="00E832AE">
              <w:rPr>
                <w:rFonts w:ascii="Arial" w:hAnsi="Arial" w:cs="Arial"/>
                <w:sz w:val="24"/>
                <w:szCs w:val="24"/>
              </w:rPr>
              <w:t xml:space="preserve">Công văn số </w:t>
            </w:r>
            <w:r w:rsidR="00ED141F" w:rsidRPr="00E832AE">
              <w:rPr>
                <w:rFonts w:ascii="Arial" w:hAnsi="Arial" w:cs="Arial"/>
                <w:sz w:val="24"/>
                <w:szCs w:val="24"/>
              </w:rPr>
              <w:t>2385/TCT-DNL</w:t>
            </w:r>
            <w:r w:rsidR="00ED141F" w:rsidRPr="00E832AE">
              <w:rPr>
                <w:rFonts w:ascii="Arial" w:hAnsi="Arial" w:cs="Arial"/>
                <w:sz w:val="24"/>
                <w:szCs w:val="24"/>
              </w:rPr>
              <w:br/>
              <w:t>ngày 02 tháng 06 năm 2017</w:t>
            </w:r>
          </w:p>
          <w:p w:rsidR="00EE5C97" w:rsidRPr="00E832AE" w:rsidRDefault="008C46CE" w:rsidP="00E832AE">
            <w:pPr>
              <w:jc w:val="right"/>
              <w:rPr>
                <w:rFonts w:ascii="Arial" w:hAnsi="Arial" w:cs="Arial"/>
                <w:sz w:val="24"/>
                <w:szCs w:val="24"/>
              </w:rPr>
            </w:pPr>
            <w:r w:rsidRPr="00E832AE">
              <w:rPr>
                <w:rFonts w:ascii="Arial" w:hAnsi="Arial" w:cs="Arial"/>
                <w:sz w:val="24"/>
                <w:szCs w:val="24"/>
              </w:rPr>
              <w:t>do Tổng cục Thuế ban hành</w:t>
            </w:r>
          </w:p>
        </w:tc>
        <w:tc>
          <w:tcPr>
            <w:tcW w:w="6964" w:type="dxa"/>
            <w:gridSpan w:val="3"/>
            <w:shd w:val="clear" w:color="auto" w:fill="FFFFFF" w:themeFill="background1"/>
            <w:vAlign w:val="center"/>
          </w:tcPr>
          <w:p w:rsidR="00E96369" w:rsidRPr="008C46CE" w:rsidRDefault="008C46CE" w:rsidP="00E832AE">
            <w:pPr>
              <w:spacing w:before="240"/>
              <w:rPr>
                <w:rFonts w:ascii="Arial" w:hAnsi="Arial" w:cs="Arial"/>
                <w:sz w:val="24"/>
                <w:szCs w:val="24"/>
              </w:rPr>
            </w:pPr>
            <w:r w:rsidRPr="008C46CE">
              <w:rPr>
                <w:rFonts w:ascii="Arial" w:hAnsi="Arial" w:cs="Arial"/>
                <w:sz w:val="24"/>
                <w:szCs w:val="24"/>
              </w:rPr>
              <w:t>G</w:t>
            </w:r>
            <w:r w:rsidR="00ED141F" w:rsidRPr="008C46CE">
              <w:rPr>
                <w:rFonts w:ascii="Arial" w:hAnsi="Arial" w:cs="Arial"/>
                <w:sz w:val="24"/>
                <w:szCs w:val="24"/>
              </w:rPr>
              <w:t>ia hạn nộp tiền cấp quyền khai thác khoáng sản.</w:t>
            </w:r>
          </w:p>
        </w:tc>
      </w:tr>
      <w:tr w:rsidR="00ED141F" w:rsidTr="008B32C5">
        <w:trPr>
          <w:trHeight w:val="701"/>
        </w:trPr>
        <w:tc>
          <w:tcPr>
            <w:tcW w:w="3512" w:type="dxa"/>
            <w:gridSpan w:val="3"/>
            <w:shd w:val="clear" w:color="auto" w:fill="92D050"/>
          </w:tcPr>
          <w:p w:rsidR="00ED141F" w:rsidRPr="00E832AE" w:rsidRDefault="00CA6E2C" w:rsidP="00E832AE">
            <w:pPr>
              <w:jc w:val="right"/>
              <w:rPr>
                <w:rFonts w:ascii="Arial" w:hAnsi="Arial" w:cs="Arial"/>
                <w:sz w:val="24"/>
                <w:szCs w:val="24"/>
              </w:rPr>
            </w:pPr>
            <w:r w:rsidRPr="00E832AE">
              <w:rPr>
                <w:rFonts w:ascii="Arial" w:hAnsi="Arial" w:cs="Arial"/>
                <w:sz w:val="24"/>
                <w:szCs w:val="24"/>
              </w:rPr>
              <w:t xml:space="preserve">Công văn số </w:t>
            </w:r>
            <w:r w:rsidR="00ED141F" w:rsidRPr="00E832AE">
              <w:rPr>
                <w:rFonts w:ascii="Arial" w:hAnsi="Arial" w:cs="Arial"/>
                <w:sz w:val="24"/>
                <w:szCs w:val="24"/>
              </w:rPr>
              <w:t>2304/TCT-CS</w:t>
            </w:r>
            <w:r w:rsidR="00ED141F" w:rsidRPr="00E832AE">
              <w:rPr>
                <w:rFonts w:ascii="Arial" w:hAnsi="Arial" w:cs="Arial"/>
                <w:sz w:val="24"/>
                <w:szCs w:val="24"/>
              </w:rPr>
              <w:br/>
              <w:t>ngày 01 tháng 06 năm 2017</w:t>
            </w:r>
          </w:p>
          <w:p w:rsidR="00ED141F" w:rsidRPr="00E832AE" w:rsidRDefault="008C46CE" w:rsidP="00E832AE">
            <w:pPr>
              <w:jc w:val="right"/>
              <w:rPr>
                <w:rFonts w:ascii="Arial" w:hAnsi="Arial" w:cs="Arial"/>
                <w:sz w:val="24"/>
                <w:szCs w:val="24"/>
              </w:rPr>
            </w:pPr>
            <w:r w:rsidRPr="00E832AE">
              <w:rPr>
                <w:rFonts w:ascii="Arial" w:hAnsi="Arial" w:cs="Arial"/>
                <w:sz w:val="24"/>
                <w:szCs w:val="24"/>
              </w:rPr>
              <w:t>do Tổng cục Thuế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T</w:t>
            </w:r>
            <w:r w:rsidR="00ED141F" w:rsidRPr="008C46CE">
              <w:rPr>
                <w:rFonts w:ascii="Arial" w:hAnsi="Arial" w:cs="Arial"/>
                <w:sz w:val="24"/>
                <w:szCs w:val="24"/>
              </w:rPr>
              <w:t>huế</w:t>
            </w:r>
            <w:r w:rsidR="00CA6E2C">
              <w:rPr>
                <w:rFonts w:ascii="Arial" w:hAnsi="Arial" w:cs="Arial"/>
                <w:sz w:val="24"/>
                <w:szCs w:val="24"/>
              </w:rPr>
              <w:t xml:space="preserve"> GTGT</w:t>
            </w:r>
            <w:r w:rsidR="00A25DE6">
              <w:rPr>
                <w:rFonts w:ascii="Arial" w:hAnsi="Arial" w:cs="Arial"/>
                <w:sz w:val="24"/>
                <w:szCs w:val="24"/>
              </w:rPr>
              <w:t xml:space="preserve"> đối với tài nguyên, khoáng sản</w:t>
            </w:r>
          </w:p>
        </w:tc>
      </w:tr>
      <w:tr w:rsidR="00ED141F" w:rsidTr="008B32C5">
        <w:trPr>
          <w:trHeight w:val="701"/>
        </w:trPr>
        <w:tc>
          <w:tcPr>
            <w:tcW w:w="3512" w:type="dxa"/>
            <w:gridSpan w:val="3"/>
            <w:shd w:val="clear" w:color="auto" w:fill="92D050"/>
          </w:tcPr>
          <w:p w:rsidR="00ED141F" w:rsidRPr="00E832AE" w:rsidRDefault="00CA6E2C" w:rsidP="00E832AE">
            <w:pPr>
              <w:jc w:val="right"/>
              <w:rPr>
                <w:rFonts w:ascii="Arial" w:hAnsi="Arial" w:cs="Arial"/>
                <w:sz w:val="24"/>
                <w:szCs w:val="24"/>
              </w:rPr>
            </w:pPr>
            <w:r w:rsidRPr="00E832AE">
              <w:rPr>
                <w:rFonts w:ascii="Arial" w:hAnsi="Arial" w:cs="Arial"/>
                <w:sz w:val="24"/>
                <w:szCs w:val="24"/>
              </w:rPr>
              <w:t xml:space="preserve">Công văn số </w:t>
            </w:r>
            <w:r w:rsidR="00ED141F" w:rsidRPr="00E832AE">
              <w:rPr>
                <w:rFonts w:ascii="Arial" w:hAnsi="Arial" w:cs="Arial"/>
                <w:sz w:val="24"/>
                <w:szCs w:val="24"/>
              </w:rPr>
              <w:t>2298/TCT-CS</w:t>
            </w:r>
            <w:r w:rsidR="00ED141F" w:rsidRPr="00E832AE">
              <w:rPr>
                <w:rFonts w:ascii="Arial" w:hAnsi="Arial" w:cs="Arial"/>
                <w:sz w:val="24"/>
                <w:szCs w:val="24"/>
              </w:rPr>
              <w:br/>
              <w:t>ngày 01 tháng 06 năm 2017</w:t>
            </w:r>
          </w:p>
          <w:p w:rsidR="00ED141F" w:rsidRPr="00E832AE" w:rsidRDefault="008C46CE" w:rsidP="00E832AE">
            <w:pPr>
              <w:jc w:val="right"/>
              <w:rPr>
                <w:rFonts w:ascii="Arial" w:hAnsi="Arial" w:cs="Arial"/>
                <w:sz w:val="24"/>
                <w:szCs w:val="24"/>
              </w:rPr>
            </w:pPr>
            <w:r w:rsidRPr="00E832AE">
              <w:rPr>
                <w:rFonts w:ascii="Arial" w:hAnsi="Arial" w:cs="Arial"/>
                <w:sz w:val="24"/>
                <w:szCs w:val="24"/>
              </w:rPr>
              <w:t>do Tổng cục Thuế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V</w:t>
            </w:r>
            <w:r w:rsidR="00ED141F" w:rsidRPr="008C46CE">
              <w:rPr>
                <w:rFonts w:ascii="Arial" w:hAnsi="Arial" w:cs="Arial"/>
                <w:sz w:val="24"/>
                <w:szCs w:val="24"/>
              </w:rPr>
              <w:t>ướng mắc khi triển khai Luật phí lệ phí</w:t>
            </w:r>
          </w:p>
        </w:tc>
      </w:tr>
      <w:tr w:rsidR="00ED141F" w:rsidTr="008B32C5">
        <w:trPr>
          <w:trHeight w:val="701"/>
        </w:trPr>
        <w:tc>
          <w:tcPr>
            <w:tcW w:w="3512" w:type="dxa"/>
            <w:gridSpan w:val="3"/>
            <w:shd w:val="clear" w:color="auto" w:fill="92D050"/>
          </w:tcPr>
          <w:p w:rsidR="00ED141F" w:rsidRPr="00E832AE" w:rsidRDefault="00CA6E2C" w:rsidP="00E832AE">
            <w:pPr>
              <w:jc w:val="right"/>
              <w:rPr>
                <w:rFonts w:ascii="Arial" w:hAnsi="Arial" w:cs="Arial"/>
                <w:sz w:val="24"/>
                <w:szCs w:val="24"/>
              </w:rPr>
            </w:pPr>
            <w:r w:rsidRPr="00E832AE">
              <w:rPr>
                <w:rFonts w:ascii="Arial" w:hAnsi="Arial" w:cs="Arial"/>
                <w:sz w:val="24"/>
                <w:szCs w:val="24"/>
              </w:rPr>
              <w:t>Công văn số</w:t>
            </w:r>
            <w:r w:rsidR="00ED141F" w:rsidRPr="00E832AE">
              <w:rPr>
                <w:rFonts w:ascii="Arial" w:hAnsi="Arial" w:cs="Arial"/>
                <w:sz w:val="24"/>
                <w:szCs w:val="24"/>
              </w:rPr>
              <w:t> 2302/TCT-CS</w:t>
            </w:r>
          </w:p>
          <w:p w:rsidR="00ED141F" w:rsidRPr="00E832AE" w:rsidRDefault="00ED141F" w:rsidP="00E832AE">
            <w:pPr>
              <w:jc w:val="right"/>
              <w:rPr>
                <w:rFonts w:ascii="Arial" w:hAnsi="Arial" w:cs="Arial"/>
                <w:sz w:val="24"/>
                <w:szCs w:val="24"/>
              </w:rPr>
            </w:pPr>
            <w:r w:rsidRPr="00E832AE">
              <w:rPr>
                <w:rFonts w:ascii="Arial" w:hAnsi="Arial" w:cs="Arial"/>
                <w:sz w:val="24"/>
                <w:szCs w:val="24"/>
              </w:rPr>
              <w:t>ngày 01 tháng 06 năm 2017</w:t>
            </w:r>
          </w:p>
          <w:p w:rsidR="00ED141F" w:rsidRPr="00E832AE" w:rsidRDefault="008C46CE" w:rsidP="00E832AE">
            <w:pPr>
              <w:jc w:val="right"/>
              <w:rPr>
                <w:rFonts w:ascii="Arial" w:hAnsi="Arial" w:cs="Arial"/>
                <w:sz w:val="24"/>
                <w:szCs w:val="24"/>
              </w:rPr>
            </w:pPr>
            <w:r w:rsidRPr="00E832AE">
              <w:rPr>
                <w:rFonts w:ascii="Arial" w:hAnsi="Arial" w:cs="Arial"/>
                <w:sz w:val="24"/>
                <w:szCs w:val="24"/>
              </w:rPr>
              <w:t>do Tổng cục Thuế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C</w:t>
            </w:r>
            <w:r w:rsidR="00ED141F" w:rsidRPr="008C46CE">
              <w:rPr>
                <w:rFonts w:ascii="Arial" w:hAnsi="Arial" w:cs="Arial"/>
                <w:sz w:val="24"/>
                <w:szCs w:val="24"/>
              </w:rPr>
              <w:t>hính sách thuế đối với Nhà thầu nước ngoài</w:t>
            </w:r>
          </w:p>
        </w:tc>
      </w:tr>
      <w:tr w:rsidR="008C46CE" w:rsidTr="008B32C5">
        <w:trPr>
          <w:trHeight w:val="701"/>
        </w:trPr>
        <w:tc>
          <w:tcPr>
            <w:tcW w:w="3512" w:type="dxa"/>
            <w:gridSpan w:val="3"/>
            <w:shd w:val="clear" w:color="auto" w:fill="92D050"/>
          </w:tcPr>
          <w:p w:rsidR="008C46CE" w:rsidRPr="00E832AE" w:rsidRDefault="008C46CE" w:rsidP="00E832AE">
            <w:pPr>
              <w:jc w:val="right"/>
              <w:rPr>
                <w:rFonts w:ascii="Arial" w:hAnsi="Arial" w:cs="Arial"/>
                <w:sz w:val="24"/>
                <w:szCs w:val="24"/>
              </w:rPr>
            </w:pPr>
            <w:r w:rsidRPr="00E832AE">
              <w:rPr>
                <w:rFonts w:ascii="Arial" w:hAnsi="Arial" w:cs="Arial"/>
                <w:sz w:val="24"/>
                <w:szCs w:val="24"/>
              </w:rPr>
              <w:t xml:space="preserve">Công văn </w:t>
            </w:r>
            <w:r w:rsidR="00CA6E2C" w:rsidRPr="00E832AE">
              <w:rPr>
                <w:rFonts w:ascii="Arial" w:hAnsi="Arial" w:cs="Arial"/>
                <w:sz w:val="24"/>
                <w:szCs w:val="24"/>
              </w:rPr>
              <w:t xml:space="preserve">số </w:t>
            </w:r>
            <w:r w:rsidRPr="00E832AE">
              <w:rPr>
                <w:rFonts w:ascii="Arial" w:hAnsi="Arial" w:cs="Arial"/>
                <w:sz w:val="24"/>
                <w:szCs w:val="24"/>
              </w:rPr>
              <w:t>2303/TCT-CS năm 2017 do Tổng cục Thuế ban hành</w:t>
            </w:r>
          </w:p>
        </w:tc>
        <w:tc>
          <w:tcPr>
            <w:tcW w:w="6964" w:type="dxa"/>
            <w:gridSpan w:val="3"/>
            <w:shd w:val="clear" w:color="auto" w:fill="FFFFFF" w:themeFill="background1"/>
            <w:vAlign w:val="center"/>
          </w:tcPr>
          <w:p w:rsidR="008C46CE" w:rsidRPr="008C46CE" w:rsidRDefault="008C46CE" w:rsidP="00E832AE">
            <w:pPr>
              <w:spacing w:before="240"/>
              <w:rPr>
                <w:rFonts w:ascii="Arial" w:hAnsi="Arial" w:cs="Arial"/>
                <w:sz w:val="24"/>
                <w:szCs w:val="24"/>
              </w:rPr>
            </w:pPr>
            <w:r w:rsidRPr="008C46CE">
              <w:rPr>
                <w:rFonts w:ascii="Arial" w:hAnsi="Arial" w:cs="Arial"/>
                <w:sz w:val="24"/>
                <w:szCs w:val="24"/>
              </w:rPr>
              <w:t>Chính sách thuế nhà thầu nước ngoài</w:t>
            </w:r>
          </w:p>
        </w:tc>
      </w:tr>
      <w:tr w:rsidR="008C46CE" w:rsidTr="008B32C5">
        <w:trPr>
          <w:trHeight w:val="701"/>
        </w:trPr>
        <w:tc>
          <w:tcPr>
            <w:tcW w:w="3512" w:type="dxa"/>
            <w:gridSpan w:val="3"/>
            <w:shd w:val="clear" w:color="auto" w:fill="92D050"/>
          </w:tcPr>
          <w:p w:rsidR="008C46CE" w:rsidRPr="00E832AE" w:rsidRDefault="008C46CE" w:rsidP="00E832AE">
            <w:pPr>
              <w:jc w:val="right"/>
              <w:rPr>
                <w:rFonts w:ascii="Arial" w:hAnsi="Arial" w:cs="Arial"/>
                <w:sz w:val="24"/>
                <w:szCs w:val="24"/>
              </w:rPr>
            </w:pPr>
            <w:r w:rsidRPr="00E832AE">
              <w:rPr>
                <w:rFonts w:ascii="Arial" w:hAnsi="Arial" w:cs="Arial"/>
                <w:sz w:val="24"/>
                <w:szCs w:val="24"/>
              </w:rPr>
              <w:t xml:space="preserve">Công văn </w:t>
            </w:r>
            <w:r w:rsidR="00CA6E2C" w:rsidRPr="00E832AE">
              <w:rPr>
                <w:rFonts w:ascii="Arial" w:hAnsi="Arial" w:cs="Arial"/>
                <w:sz w:val="24"/>
                <w:szCs w:val="24"/>
              </w:rPr>
              <w:t xml:space="preserve">số </w:t>
            </w:r>
            <w:r w:rsidRPr="00E832AE">
              <w:rPr>
                <w:rFonts w:ascii="Arial" w:hAnsi="Arial" w:cs="Arial"/>
                <w:sz w:val="24"/>
                <w:szCs w:val="24"/>
              </w:rPr>
              <w:t>2306/TCT-CS năm 2017 do Tổng cục Thuế ban hành</w:t>
            </w:r>
          </w:p>
        </w:tc>
        <w:tc>
          <w:tcPr>
            <w:tcW w:w="6964" w:type="dxa"/>
            <w:gridSpan w:val="3"/>
            <w:shd w:val="clear" w:color="auto" w:fill="FFFFFF" w:themeFill="background1"/>
            <w:vAlign w:val="center"/>
          </w:tcPr>
          <w:p w:rsidR="008C46CE" w:rsidRPr="008C46CE" w:rsidRDefault="008C46CE" w:rsidP="00E832AE">
            <w:pPr>
              <w:spacing w:before="240"/>
              <w:rPr>
                <w:rFonts w:ascii="Arial" w:hAnsi="Arial" w:cs="Arial"/>
                <w:sz w:val="24"/>
                <w:szCs w:val="24"/>
              </w:rPr>
            </w:pPr>
            <w:r w:rsidRPr="008C46CE">
              <w:rPr>
                <w:rFonts w:ascii="Arial" w:hAnsi="Arial" w:cs="Arial"/>
                <w:sz w:val="24"/>
                <w:szCs w:val="24"/>
              </w:rPr>
              <w:t>Chính sách thuế giá trị gia tăng của hoạt động bán hàng vãng lai</w:t>
            </w:r>
          </w:p>
        </w:tc>
      </w:tr>
      <w:tr w:rsidR="008C46CE" w:rsidTr="008B32C5">
        <w:trPr>
          <w:trHeight w:val="701"/>
        </w:trPr>
        <w:tc>
          <w:tcPr>
            <w:tcW w:w="3512" w:type="dxa"/>
            <w:gridSpan w:val="3"/>
            <w:shd w:val="clear" w:color="auto" w:fill="92D050"/>
          </w:tcPr>
          <w:p w:rsidR="008C46CE" w:rsidRPr="00E832AE" w:rsidRDefault="008C46CE" w:rsidP="00E832AE">
            <w:pPr>
              <w:jc w:val="right"/>
              <w:rPr>
                <w:rFonts w:ascii="Arial" w:hAnsi="Arial" w:cs="Arial"/>
                <w:sz w:val="24"/>
                <w:szCs w:val="24"/>
              </w:rPr>
            </w:pPr>
            <w:r w:rsidRPr="00E832AE">
              <w:rPr>
                <w:rFonts w:ascii="Arial" w:hAnsi="Arial" w:cs="Arial"/>
                <w:sz w:val="24"/>
                <w:szCs w:val="24"/>
              </w:rPr>
              <w:t>Công văn 2308/TCT-CS năm 2017 do Tổng cục Thuế ban hành</w:t>
            </w:r>
          </w:p>
        </w:tc>
        <w:tc>
          <w:tcPr>
            <w:tcW w:w="6964" w:type="dxa"/>
            <w:gridSpan w:val="3"/>
            <w:shd w:val="clear" w:color="auto" w:fill="FFFFFF" w:themeFill="background1"/>
            <w:vAlign w:val="center"/>
          </w:tcPr>
          <w:p w:rsidR="008C46CE" w:rsidRPr="008C46CE" w:rsidRDefault="008C46CE" w:rsidP="00E832AE">
            <w:pPr>
              <w:spacing w:before="240"/>
              <w:rPr>
                <w:rFonts w:ascii="Arial" w:hAnsi="Arial" w:cs="Arial"/>
                <w:sz w:val="24"/>
                <w:szCs w:val="24"/>
              </w:rPr>
            </w:pPr>
            <w:r w:rsidRPr="008C46CE">
              <w:rPr>
                <w:rFonts w:ascii="Arial" w:hAnsi="Arial" w:cs="Arial"/>
                <w:sz w:val="24"/>
                <w:szCs w:val="24"/>
              </w:rPr>
              <w:t>Chính sách thuế nhà thầu đối với hợp đồng dịch vụ</w:t>
            </w:r>
          </w:p>
        </w:tc>
      </w:tr>
      <w:tr w:rsidR="00ED141F" w:rsidTr="008C46CE">
        <w:trPr>
          <w:trHeight w:val="77"/>
        </w:trPr>
        <w:tc>
          <w:tcPr>
            <w:tcW w:w="3512" w:type="dxa"/>
            <w:gridSpan w:val="3"/>
            <w:shd w:val="clear" w:color="auto" w:fill="92D050"/>
          </w:tcPr>
          <w:p w:rsidR="00ED141F" w:rsidRPr="00E832AE" w:rsidRDefault="008C46CE" w:rsidP="00E832AE">
            <w:pPr>
              <w:jc w:val="right"/>
              <w:rPr>
                <w:rFonts w:ascii="Arial" w:hAnsi="Arial" w:cs="Arial"/>
                <w:sz w:val="24"/>
                <w:szCs w:val="24"/>
              </w:rPr>
            </w:pPr>
            <w:r w:rsidRPr="00E832AE">
              <w:rPr>
                <w:rFonts w:ascii="Arial" w:hAnsi="Arial" w:cs="Arial"/>
                <w:sz w:val="24"/>
                <w:szCs w:val="24"/>
              </w:rPr>
              <w:t xml:space="preserve">Công văn </w:t>
            </w:r>
            <w:r w:rsidR="00CA6E2C" w:rsidRPr="00E832AE">
              <w:rPr>
                <w:rFonts w:ascii="Arial" w:hAnsi="Arial" w:cs="Arial"/>
                <w:sz w:val="24"/>
                <w:szCs w:val="24"/>
              </w:rPr>
              <w:t xml:space="preserve">số </w:t>
            </w:r>
            <w:r w:rsidRPr="00E832AE">
              <w:rPr>
                <w:rFonts w:ascii="Arial" w:hAnsi="Arial" w:cs="Arial"/>
                <w:sz w:val="24"/>
                <w:szCs w:val="24"/>
              </w:rPr>
              <w:t>3541/TCHQ-TXNK năm 2017 do Tổng cục Hải quan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Hoàn thuế đối với tờ khai chuyển mục đích sử dụng</w:t>
            </w:r>
          </w:p>
        </w:tc>
      </w:tr>
      <w:tr w:rsidR="00ED141F" w:rsidTr="008B32C5">
        <w:trPr>
          <w:trHeight w:val="701"/>
        </w:trPr>
        <w:tc>
          <w:tcPr>
            <w:tcW w:w="3512" w:type="dxa"/>
            <w:gridSpan w:val="3"/>
            <w:shd w:val="clear" w:color="auto" w:fill="92D050"/>
          </w:tcPr>
          <w:p w:rsidR="00ED141F" w:rsidRPr="00E832AE" w:rsidRDefault="008C46CE" w:rsidP="00E832AE">
            <w:pPr>
              <w:jc w:val="right"/>
              <w:rPr>
                <w:rFonts w:ascii="Arial" w:hAnsi="Arial" w:cs="Arial"/>
                <w:sz w:val="24"/>
                <w:szCs w:val="24"/>
              </w:rPr>
            </w:pPr>
            <w:r w:rsidRPr="00E832AE">
              <w:rPr>
                <w:rFonts w:ascii="Arial" w:hAnsi="Arial" w:cs="Arial"/>
                <w:sz w:val="24"/>
                <w:szCs w:val="24"/>
              </w:rPr>
              <w:t xml:space="preserve">Công văn </w:t>
            </w:r>
            <w:r w:rsidR="00CA6E2C" w:rsidRPr="00E832AE">
              <w:rPr>
                <w:rFonts w:ascii="Arial" w:hAnsi="Arial" w:cs="Arial"/>
                <w:sz w:val="24"/>
                <w:szCs w:val="24"/>
              </w:rPr>
              <w:t xml:space="preserve">số </w:t>
            </w:r>
            <w:r w:rsidRPr="00E832AE">
              <w:rPr>
                <w:rFonts w:ascii="Arial" w:hAnsi="Arial" w:cs="Arial"/>
                <w:sz w:val="24"/>
                <w:szCs w:val="24"/>
              </w:rPr>
              <w:t>3540/TCHQ-TXNK năm 2017 do Tổng cục Hải quan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Vướng mắc thực hiện Biểu thuế xuất khẩu mặt hàng xi măng</w:t>
            </w:r>
          </w:p>
        </w:tc>
      </w:tr>
      <w:tr w:rsidR="00ED141F" w:rsidTr="008B32C5">
        <w:trPr>
          <w:trHeight w:val="701"/>
        </w:trPr>
        <w:tc>
          <w:tcPr>
            <w:tcW w:w="3512" w:type="dxa"/>
            <w:gridSpan w:val="3"/>
            <w:shd w:val="clear" w:color="auto" w:fill="92D050"/>
          </w:tcPr>
          <w:p w:rsidR="00ED141F" w:rsidRPr="00E832AE" w:rsidRDefault="008C46CE" w:rsidP="00E832AE">
            <w:pPr>
              <w:jc w:val="right"/>
              <w:rPr>
                <w:rFonts w:ascii="Arial" w:hAnsi="Arial" w:cs="Arial"/>
                <w:sz w:val="24"/>
                <w:szCs w:val="24"/>
              </w:rPr>
            </w:pPr>
            <w:r w:rsidRPr="00E832AE">
              <w:rPr>
                <w:rFonts w:ascii="Arial" w:hAnsi="Arial" w:cs="Arial"/>
                <w:sz w:val="24"/>
                <w:szCs w:val="24"/>
              </w:rPr>
              <w:t xml:space="preserve">Công văn </w:t>
            </w:r>
            <w:r w:rsidR="00CA6E2C" w:rsidRPr="00E832AE">
              <w:rPr>
                <w:rFonts w:ascii="Arial" w:hAnsi="Arial" w:cs="Arial"/>
                <w:sz w:val="24"/>
                <w:szCs w:val="24"/>
              </w:rPr>
              <w:t xml:space="preserve">số </w:t>
            </w:r>
            <w:r w:rsidRPr="00E832AE">
              <w:rPr>
                <w:rFonts w:ascii="Arial" w:hAnsi="Arial" w:cs="Arial"/>
                <w:sz w:val="24"/>
                <w:szCs w:val="24"/>
              </w:rPr>
              <w:t>2254/TCT-KK năm 2017 do Tổng cục Thuế ban hành</w:t>
            </w:r>
          </w:p>
        </w:tc>
        <w:tc>
          <w:tcPr>
            <w:tcW w:w="6964" w:type="dxa"/>
            <w:gridSpan w:val="3"/>
            <w:shd w:val="clear" w:color="auto" w:fill="FFFFFF" w:themeFill="background1"/>
            <w:vAlign w:val="center"/>
          </w:tcPr>
          <w:p w:rsidR="00ED141F" w:rsidRPr="008C46CE" w:rsidRDefault="008C46CE" w:rsidP="00E832AE">
            <w:pPr>
              <w:spacing w:before="240"/>
              <w:rPr>
                <w:rFonts w:ascii="Arial" w:hAnsi="Arial" w:cs="Arial"/>
                <w:sz w:val="24"/>
                <w:szCs w:val="24"/>
              </w:rPr>
            </w:pPr>
            <w:r w:rsidRPr="008C46CE">
              <w:rPr>
                <w:rFonts w:ascii="Arial" w:hAnsi="Arial" w:cs="Arial"/>
                <w:sz w:val="24"/>
                <w:szCs w:val="24"/>
              </w:rPr>
              <w:t>Hoàn thuế giá trị gia tăng đối với dự án đầu tư</w:t>
            </w:r>
          </w:p>
        </w:tc>
      </w:tr>
      <w:tr w:rsidR="00E47484" w:rsidTr="00CB270F">
        <w:trPr>
          <w:trHeight w:val="701"/>
        </w:trPr>
        <w:tc>
          <w:tcPr>
            <w:tcW w:w="738" w:type="dxa"/>
            <w:shd w:val="clear" w:color="auto" w:fill="FFFFFF" w:themeFill="background1"/>
          </w:tcPr>
          <w:p w:rsidR="00E47484" w:rsidRDefault="008C46CE" w:rsidP="0070176B">
            <w:pPr>
              <w:ind w:left="-90"/>
              <w:rPr>
                <w:noProof/>
              </w:rPr>
            </w:pPr>
            <w:r>
              <w:rPr>
                <w:noProof/>
              </w:rPr>
              <w:drawing>
                <wp:anchor distT="0" distB="0" distL="114300" distR="114300" simplePos="0" relativeHeight="251659264" behindDoc="0" locked="0" layoutInCell="0" allowOverlap="1" wp14:anchorId="1AB828FF" wp14:editId="26098093">
                  <wp:simplePos x="0" y="0"/>
                  <wp:positionH relativeFrom="page">
                    <wp:posOffset>561502</wp:posOffset>
                  </wp:positionH>
                  <wp:positionV relativeFrom="page">
                    <wp:posOffset>8402320</wp:posOffset>
                  </wp:positionV>
                  <wp:extent cx="459740" cy="445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extLst/>
                          </a:blip>
                          <a:srcRect r="85963"/>
                          <a:stretch>
                            <a:fillRect/>
                          </a:stretch>
                        </pic:blipFill>
                        <pic:spPr bwMode="auto">
                          <a:xfrm>
                            <a:off x="0" y="0"/>
                            <a:ext cx="459740" cy="445770"/>
                          </a:xfrm>
                          <a:prstGeom prst="rect">
                            <a:avLst/>
                          </a:prstGeom>
                          <a:noFill/>
                        </pic:spPr>
                      </pic:pic>
                    </a:graphicData>
                  </a:graphic>
                </wp:anchor>
              </w:drawing>
            </w:r>
          </w:p>
        </w:tc>
        <w:tc>
          <w:tcPr>
            <w:tcW w:w="9738" w:type="dxa"/>
            <w:gridSpan w:val="5"/>
            <w:shd w:val="clear" w:color="auto" w:fill="E20000"/>
            <w:vAlign w:val="center"/>
          </w:tcPr>
          <w:p w:rsidR="00E47484" w:rsidRPr="00CC5D61" w:rsidRDefault="00CC5D61" w:rsidP="0070176B">
            <w:pPr>
              <w:jc w:val="center"/>
              <w:rPr>
                <w:b/>
                <w:color w:val="FFFFFF" w:themeColor="background1"/>
              </w:rPr>
            </w:pPr>
            <w:r w:rsidRPr="00953FCF">
              <w:rPr>
                <w:b/>
                <w:color w:val="FFFFFF" w:themeColor="background1"/>
                <w:sz w:val="24"/>
              </w:rPr>
              <w:t>VẤN ĐỀ CẦN LƯU Ý</w:t>
            </w:r>
          </w:p>
        </w:tc>
      </w:tr>
      <w:tr w:rsidR="00CC5D61" w:rsidTr="008B32C5">
        <w:trPr>
          <w:trHeight w:val="701"/>
        </w:trPr>
        <w:tc>
          <w:tcPr>
            <w:tcW w:w="3528" w:type="dxa"/>
            <w:gridSpan w:val="4"/>
            <w:shd w:val="clear" w:color="auto" w:fill="92D050"/>
          </w:tcPr>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14FD4FF1" wp14:editId="54F089B8">
                  <wp:simplePos x="0" y="0"/>
                  <wp:positionH relativeFrom="column">
                    <wp:posOffset>340995</wp:posOffset>
                  </wp:positionH>
                  <wp:positionV relativeFrom="paragraph">
                    <wp:posOffset>140803</wp:posOffset>
                  </wp:positionV>
                  <wp:extent cx="5843270" cy="8181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5843270" cy="8181340"/>
                          </a:xfrm>
                          <a:prstGeom prst="rect">
                            <a:avLst/>
                          </a:prstGeom>
                        </pic:spPr>
                      </pic:pic>
                    </a:graphicData>
                  </a:graphic>
                  <wp14:sizeRelH relativeFrom="page">
                    <wp14:pctWidth>0</wp14:pctWidth>
                  </wp14:sizeRelH>
                  <wp14:sizeRelV relativeFrom="page">
                    <wp14:pctHeight>0</wp14:pctHeight>
                  </wp14:sizeRelV>
                </wp:anchor>
              </w:drawing>
            </w:r>
          </w:p>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p>
          <w:p w:rsidR="00A05673" w:rsidRDefault="00A05673" w:rsidP="00627328">
            <w:pPr>
              <w:jc w:val="right"/>
              <w:rPr>
                <w:rFonts w:ascii="Arial" w:hAnsi="Arial" w:cs="Arial"/>
                <w:sz w:val="24"/>
                <w:szCs w:val="24"/>
              </w:rPr>
            </w:pPr>
          </w:p>
          <w:p w:rsidR="00E83A2D" w:rsidRPr="0021657E" w:rsidRDefault="00A25DE6" w:rsidP="00627328">
            <w:pPr>
              <w:jc w:val="right"/>
              <w:rPr>
                <w:rFonts w:ascii="Arial" w:hAnsi="Arial" w:cs="Arial"/>
                <w:sz w:val="24"/>
                <w:szCs w:val="24"/>
              </w:rPr>
            </w:pPr>
            <w:r w:rsidRPr="0021657E">
              <w:rPr>
                <w:rFonts w:ascii="Arial" w:hAnsi="Arial" w:cs="Arial"/>
                <w:sz w:val="24"/>
                <w:szCs w:val="24"/>
              </w:rPr>
              <w:t>Công văn số 2303/TCT-CS năm 2017 do Tổng cục Thuế ban hành</w:t>
            </w:r>
          </w:p>
          <w:p w:rsidR="00A25DE6" w:rsidRPr="0021657E" w:rsidRDefault="00A25DE6" w:rsidP="00627328">
            <w:pPr>
              <w:jc w:val="right"/>
              <w:rPr>
                <w:rFonts w:ascii="Arial" w:hAnsi="Arial" w:cs="Arial"/>
                <w:b/>
                <w:sz w:val="24"/>
                <w:szCs w:val="24"/>
              </w:rPr>
            </w:pPr>
            <w:r w:rsidRPr="0021657E">
              <w:rPr>
                <w:rFonts w:ascii="Arial" w:hAnsi="Arial" w:cs="Arial"/>
                <w:b/>
                <w:color w:val="FFFFFF" w:themeColor="background1"/>
                <w:sz w:val="24"/>
                <w:szCs w:val="24"/>
              </w:rPr>
              <w:t>Hướng dẫn c</w:t>
            </w:r>
            <w:r w:rsidRPr="0021657E">
              <w:rPr>
                <w:rFonts w:ascii="Arial" w:hAnsi="Arial" w:cs="Arial"/>
                <w:b/>
                <w:color w:val="FFFFFF" w:themeColor="background1"/>
                <w:sz w:val="24"/>
                <w:szCs w:val="24"/>
              </w:rPr>
              <w:t>hính sách thuế nhà thầu nước ngoài</w:t>
            </w:r>
          </w:p>
        </w:tc>
        <w:tc>
          <w:tcPr>
            <w:tcW w:w="6948" w:type="dxa"/>
            <w:gridSpan w:val="2"/>
            <w:shd w:val="clear" w:color="auto" w:fill="FFFFFF" w:themeFill="background1"/>
            <w:vAlign w:val="center"/>
          </w:tcPr>
          <w:p w:rsidR="00A25DE6" w:rsidRPr="0021657E" w:rsidRDefault="00BE24E2" w:rsidP="00E832AE">
            <w:pPr>
              <w:pStyle w:val="NormalWeb"/>
              <w:shd w:val="clear" w:color="auto" w:fill="FFFFFF"/>
              <w:spacing w:before="240" w:beforeAutospacing="0" w:after="240" w:afterAutospacing="0" w:line="234" w:lineRule="atLeast"/>
              <w:jc w:val="both"/>
              <w:rPr>
                <w:rFonts w:ascii="Arial" w:hAnsi="Arial" w:cs="Arial"/>
                <w:color w:val="000000"/>
              </w:rPr>
            </w:pPr>
            <w:r w:rsidRPr="0021657E">
              <w:rPr>
                <w:rFonts w:ascii="Arial" w:hAnsi="Arial" w:cs="Arial"/>
                <w:color w:val="000000"/>
                <w:lang w:val="vi-VN"/>
              </w:rPr>
              <w:t>Công ty</w:t>
            </w:r>
            <w:r w:rsidR="00A25DE6" w:rsidRPr="0021657E">
              <w:rPr>
                <w:rFonts w:ascii="Arial" w:hAnsi="Arial" w:cs="Arial"/>
                <w:color w:val="000000"/>
                <w:lang w:val="vi-VN"/>
              </w:rPr>
              <w:t xml:space="preserve"> </w:t>
            </w:r>
            <w:r w:rsidRPr="0021657E">
              <w:rPr>
                <w:rFonts w:ascii="Arial" w:hAnsi="Arial" w:cs="Arial"/>
                <w:color w:val="000000"/>
              </w:rPr>
              <w:t xml:space="preserve">Singapore </w:t>
            </w:r>
            <w:r w:rsidR="00A25DE6" w:rsidRPr="0021657E">
              <w:rPr>
                <w:rFonts w:ascii="Arial" w:hAnsi="Arial" w:cs="Arial"/>
                <w:color w:val="000000"/>
                <w:lang w:val="vi-VN"/>
              </w:rPr>
              <w:t>bán h</w:t>
            </w:r>
            <w:r w:rsidR="00A25DE6" w:rsidRPr="0021657E">
              <w:rPr>
                <w:rFonts w:ascii="Arial" w:hAnsi="Arial" w:cs="Arial"/>
                <w:color w:val="000000"/>
              </w:rPr>
              <w:t>à</w:t>
            </w:r>
            <w:r w:rsidR="00A25DE6" w:rsidRPr="0021657E">
              <w:rPr>
                <w:rFonts w:ascii="Arial" w:hAnsi="Arial" w:cs="Arial"/>
                <w:color w:val="000000"/>
                <w:lang w:val="vi-VN"/>
              </w:rPr>
              <w:t>ng cho khách hàng ở nước ngoài, quyền sở hữu hàng hóa được chuyển giao trên tàu hoặc tại kho của khách hàng nước ngoài theo các điều khoản thương mại quốc tế FOB hoặc DDP, không phải giao hàng, chuyển giao quyền sở hữu tại kho ngoại quan (KNQ)</w:t>
            </w:r>
            <w:r w:rsidR="00A25DE6" w:rsidRPr="0021657E">
              <w:rPr>
                <w:rStyle w:val="apple-converted-space"/>
                <w:rFonts w:ascii="Arial" w:hAnsi="Arial" w:cs="Arial"/>
                <w:color w:val="000000"/>
                <w:lang w:val="vi-VN"/>
              </w:rPr>
              <w:t> </w:t>
            </w:r>
            <w:r w:rsidR="00A25DE6" w:rsidRPr="0021657E">
              <w:rPr>
                <w:rFonts w:ascii="Arial" w:hAnsi="Arial" w:cs="Arial"/>
                <w:color w:val="000000"/>
              </w:rPr>
              <w:t>ở</w:t>
            </w:r>
            <w:r w:rsidR="00A25DE6" w:rsidRPr="0021657E">
              <w:rPr>
                <w:rStyle w:val="apple-converted-space"/>
                <w:rFonts w:ascii="Arial" w:hAnsi="Arial" w:cs="Arial"/>
                <w:color w:val="000000"/>
                <w:lang w:val="vi-VN"/>
              </w:rPr>
              <w:t> </w:t>
            </w:r>
            <w:r w:rsidR="00A25DE6" w:rsidRPr="0021657E">
              <w:rPr>
                <w:rFonts w:ascii="Arial" w:hAnsi="Arial" w:cs="Arial"/>
                <w:color w:val="000000"/>
                <w:lang w:val="vi-VN"/>
              </w:rPr>
              <w:t xml:space="preserve">Việt Nam. </w:t>
            </w:r>
            <w:r w:rsidRPr="0021657E">
              <w:rPr>
                <w:rFonts w:ascii="Arial" w:hAnsi="Arial" w:cs="Arial"/>
                <w:color w:val="000000"/>
                <w:lang w:val="vi-VN"/>
              </w:rPr>
              <w:t xml:space="preserve">Công </w:t>
            </w:r>
            <w:r w:rsidRPr="0021657E">
              <w:rPr>
                <w:rFonts w:ascii="Arial" w:hAnsi="Arial" w:cs="Arial"/>
                <w:color w:val="000000"/>
              </w:rPr>
              <w:t xml:space="preserve">ty </w:t>
            </w:r>
            <w:r w:rsidRPr="0021657E">
              <w:rPr>
                <w:rFonts w:ascii="Arial" w:hAnsi="Arial" w:cs="Arial"/>
                <w:color w:val="000000"/>
              </w:rPr>
              <w:t>Singapore</w:t>
            </w:r>
            <w:r w:rsidRPr="0021657E">
              <w:rPr>
                <w:rFonts w:ascii="Arial" w:hAnsi="Arial" w:cs="Arial"/>
                <w:color w:val="000000"/>
                <w:lang w:val="vi-VN"/>
              </w:rPr>
              <w:t xml:space="preserve"> </w:t>
            </w:r>
            <w:r w:rsidR="00A25DE6" w:rsidRPr="0021657E">
              <w:rPr>
                <w:rFonts w:ascii="Arial" w:hAnsi="Arial" w:cs="Arial"/>
                <w:color w:val="000000"/>
                <w:lang w:val="vi-VN"/>
              </w:rPr>
              <w:t>chỉ thuê chủ kho ngoại quan làm các thủ tục hải quan cần thiết và các dịch vụ bốc dỡ, chất hàng...tại KNQ và thuê đơn vị vận chuyển độc lập đ</w:t>
            </w:r>
            <w:r w:rsidR="00A25DE6" w:rsidRPr="0021657E">
              <w:rPr>
                <w:rFonts w:ascii="Arial" w:hAnsi="Arial" w:cs="Arial"/>
                <w:color w:val="000000"/>
              </w:rPr>
              <w:t>ể</w:t>
            </w:r>
            <w:r w:rsidR="00A25DE6" w:rsidRPr="0021657E">
              <w:rPr>
                <w:rStyle w:val="apple-converted-space"/>
                <w:rFonts w:ascii="Arial" w:hAnsi="Arial" w:cs="Arial"/>
                <w:color w:val="000000"/>
                <w:lang w:val="vi-VN"/>
              </w:rPr>
              <w:t> </w:t>
            </w:r>
            <w:r w:rsidR="00A25DE6" w:rsidRPr="0021657E">
              <w:rPr>
                <w:rFonts w:ascii="Arial" w:hAnsi="Arial" w:cs="Arial"/>
                <w:color w:val="000000"/>
                <w:lang w:val="vi-VN"/>
              </w:rPr>
              <w:t>chuy</w:t>
            </w:r>
            <w:r w:rsidR="00A25DE6" w:rsidRPr="0021657E">
              <w:rPr>
                <w:rFonts w:ascii="Arial" w:hAnsi="Arial" w:cs="Arial"/>
                <w:color w:val="000000"/>
              </w:rPr>
              <w:t>ể</w:t>
            </w:r>
            <w:r w:rsidR="00A25DE6" w:rsidRPr="0021657E">
              <w:rPr>
                <w:rFonts w:ascii="Arial" w:hAnsi="Arial" w:cs="Arial"/>
                <w:color w:val="000000"/>
                <w:lang w:val="vi-VN"/>
              </w:rPr>
              <w:t>n hàng từ KNQ đến điểm giao hàng cho khách hàng.</w:t>
            </w:r>
          </w:p>
          <w:p w:rsidR="0021657E" w:rsidRPr="0021657E" w:rsidRDefault="00BE24E2" w:rsidP="00E832AE">
            <w:pPr>
              <w:pStyle w:val="NormalWeb"/>
              <w:shd w:val="clear" w:color="auto" w:fill="FFFFFF"/>
              <w:spacing w:before="240" w:beforeAutospacing="0" w:after="240" w:afterAutospacing="0" w:line="234" w:lineRule="atLeast"/>
              <w:jc w:val="both"/>
              <w:rPr>
                <w:rFonts w:ascii="Arial" w:hAnsi="Arial" w:cs="Arial"/>
              </w:rPr>
            </w:pPr>
            <w:r w:rsidRPr="0021657E">
              <w:rPr>
                <w:rFonts w:ascii="Arial" w:hAnsi="Arial" w:cs="Arial"/>
                <w:color w:val="000000"/>
              </w:rPr>
              <w:t>Theo đó, t</w:t>
            </w:r>
            <w:r w:rsidR="00A25DE6" w:rsidRPr="0021657E">
              <w:rPr>
                <w:rFonts w:ascii="Arial" w:hAnsi="Arial" w:cs="Arial"/>
                <w:color w:val="000000"/>
                <w:lang w:val="vi-VN"/>
              </w:rPr>
              <w:t>rườn</w:t>
            </w:r>
            <w:r w:rsidRPr="0021657E">
              <w:rPr>
                <w:rFonts w:ascii="Arial" w:hAnsi="Arial" w:cs="Arial"/>
                <w:color w:val="000000"/>
                <w:lang w:val="vi-VN"/>
              </w:rPr>
              <w:t>g hợp Công t</w:t>
            </w:r>
            <w:r w:rsidRPr="0021657E">
              <w:rPr>
                <w:rFonts w:ascii="Arial" w:hAnsi="Arial" w:cs="Arial"/>
                <w:color w:val="000000"/>
              </w:rPr>
              <w:t>y</w:t>
            </w:r>
            <w:r w:rsidRPr="0021657E">
              <w:rPr>
                <w:rFonts w:ascii="Arial" w:hAnsi="Arial" w:cs="Arial"/>
                <w:color w:val="000000"/>
                <w:lang w:val="vi-VN"/>
              </w:rPr>
              <w:t xml:space="preserve"> </w:t>
            </w:r>
            <w:r w:rsidRPr="0021657E">
              <w:rPr>
                <w:rFonts w:ascii="Arial" w:hAnsi="Arial" w:cs="Arial"/>
                <w:color w:val="000000"/>
              </w:rPr>
              <w:t>Singapore</w:t>
            </w:r>
            <w:r w:rsidRPr="0021657E">
              <w:rPr>
                <w:rFonts w:ascii="Arial" w:hAnsi="Arial" w:cs="Arial"/>
                <w:color w:val="000000"/>
                <w:lang w:val="vi-VN"/>
              </w:rPr>
              <w:t xml:space="preserve"> mua hàng của Công ty </w:t>
            </w:r>
            <w:r w:rsidR="00A25DE6" w:rsidRPr="0021657E">
              <w:rPr>
                <w:rFonts w:ascii="Arial" w:hAnsi="Arial" w:cs="Arial"/>
                <w:color w:val="000000"/>
                <w:lang w:val="vi-VN"/>
              </w:rPr>
              <w:t>Nhật Bản (h</w:t>
            </w:r>
            <w:r w:rsidR="00A25DE6" w:rsidRPr="0021657E">
              <w:rPr>
                <w:rFonts w:ascii="Arial" w:hAnsi="Arial" w:cs="Arial"/>
                <w:color w:val="000000"/>
              </w:rPr>
              <w:t>à</w:t>
            </w:r>
            <w:r w:rsidR="00A25DE6" w:rsidRPr="0021657E">
              <w:rPr>
                <w:rFonts w:ascii="Arial" w:hAnsi="Arial" w:cs="Arial"/>
                <w:color w:val="000000"/>
                <w:lang w:val="vi-VN"/>
              </w:rPr>
              <w:t>ng được lưu tại kho ngoại quan do Công t</w:t>
            </w:r>
            <w:r w:rsidR="00A25DE6" w:rsidRPr="0021657E">
              <w:rPr>
                <w:rFonts w:ascii="Arial" w:hAnsi="Arial" w:cs="Arial"/>
                <w:color w:val="000000"/>
              </w:rPr>
              <w:t>y</w:t>
            </w:r>
            <w:r w:rsidR="00A25DE6" w:rsidRPr="0021657E">
              <w:rPr>
                <w:rStyle w:val="apple-converted-space"/>
                <w:rFonts w:ascii="Arial" w:hAnsi="Arial" w:cs="Arial"/>
                <w:color w:val="000000"/>
              </w:rPr>
              <w:t> </w:t>
            </w:r>
            <w:r w:rsidRPr="0021657E">
              <w:rPr>
                <w:rFonts w:ascii="Arial" w:hAnsi="Arial" w:cs="Arial"/>
                <w:color w:val="000000"/>
              </w:rPr>
              <w:t>Singapore</w:t>
            </w:r>
            <w:r w:rsidRPr="0021657E">
              <w:rPr>
                <w:rFonts w:ascii="Arial" w:hAnsi="Arial" w:cs="Arial"/>
                <w:color w:val="000000"/>
                <w:lang w:val="vi-VN"/>
              </w:rPr>
              <w:t xml:space="preserve"> </w:t>
            </w:r>
            <w:r w:rsidR="00A25DE6" w:rsidRPr="0021657E">
              <w:rPr>
                <w:rFonts w:ascii="Arial" w:hAnsi="Arial" w:cs="Arial"/>
                <w:color w:val="000000"/>
                <w:lang w:val="vi-VN"/>
              </w:rPr>
              <w:t>thuê tại Việt Nam), sau đó bán cho các khách hàng ở nước ngoài theo điều khoản thương mại Incoterms FOB hoặc DDP, hàng hóa được giao ngoài lãnh thổ Việt Nam thì</w:t>
            </w:r>
            <w:r w:rsidR="00A25DE6" w:rsidRPr="0021657E">
              <w:rPr>
                <w:rStyle w:val="apple-converted-space"/>
                <w:rFonts w:ascii="Arial" w:hAnsi="Arial" w:cs="Arial"/>
                <w:color w:val="000000"/>
                <w:lang w:val="vi-VN"/>
              </w:rPr>
              <w:t> </w:t>
            </w:r>
            <w:r w:rsidR="00A25DE6" w:rsidRPr="0021657E">
              <w:rPr>
                <w:rFonts w:ascii="Arial" w:hAnsi="Arial" w:cs="Arial"/>
                <w:color w:val="000000"/>
              </w:rPr>
              <w:t>C</w:t>
            </w:r>
            <w:r w:rsidR="00A25DE6" w:rsidRPr="0021657E">
              <w:rPr>
                <w:rFonts w:ascii="Arial" w:hAnsi="Arial" w:cs="Arial"/>
                <w:color w:val="000000"/>
                <w:lang w:val="vi-VN"/>
              </w:rPr>
              <w:t xml:space="preserve">ông ty </w:t>
            </w:r>
            <w:r w:rsidRPr="0021657E">
              <w:rPr>
                <w:rFonts w:ascii="Arial" w:hAnsi="Arial" w:cs="Arial"/>
                <w:color w:val="000000"/>
              </w:rPr>
              <w:t>Singapore</w:t>
            </w:r>
            <w:r w:rsidRPr="0021657E">
              <w:rPr>
                <w:rFonts w:ascii="Arial" w:hAnsi="Arial" w:cs="Arial"/>
                <w:color w:val="000000"/>
                <w:lang w:val="vi-VN"/>
              </w:rPr>
              <w:t xml:space="preserve"> </w:t>
            </w:r>
            <w:r w:rsidR="00A25DE6" w:rsidRPr="0021657E">
              <w:rPr>
                <w:rFonts w:ascii="Arial" w:hAnsi="Arial" w:cs="Arial"/>
                <w:color w:val="000000"/>
                <w:lang w:val="vi-VN"/>
              </w:rPr>
              <w:t>thuộc đối tượng không áp dụng của Thông tư số</w:t>
            </w:r>
            <w:r w:rsidR="00A25DE6" w:rsidRPr="0021657E">
              <w:rPr>
                <w:rStyle w:val="apple-converted-space"/>
                <w:rFonts w:ascii="Arial" w:hAnsi="Arial" w:cs="Arial"/>
                <w:color w:val="000000"/>
                <w:lang w:val="vi-VN"/>
              </w:rPr>
              <w:t> </w:t>
            </w:r>
            <w:hyperlink r:id="rId11" w:tgtFrame="_blank" w:history="1">
              <w:r w:rsidR="00A25DE6" w:rsidRPr="0021657E">
                <w:rPr>
                  <w:rStyle w:val="Hyperlink"/>
                  <w:rFonts w:ascii="Arial" w:hAnsi="Arial" w:cs="Arial"/>
                  <w:color w:val="0E70C3"/>
                  <w:lang w:val="vi-VN"/>
                </w:rPr>
                <w:t>103/2014/TT-BTC</w:t>
              </w:r>
            </w:hyperlink>
            <w:r w:rsidR="00A25DE6" w:rsidRPr="0021657E">
              <w:rPr>
                <w:rStyle w:val="apple-converted-space"/>
                <w:rFonts w:ascii="Arial" w:hAnsi="Arial" w:cs="Arial"/>
                <w:color w:val="000000"/>
                <w:lang w:val="vi-VN"/>
              </w:rPr>
              <w:t> </w:t>
            </w:r>
            <w:r w:rsidRPr="0021657E">
              <w:rPr>
                <w:rFonts w:ascii="Arial" w:hAnsi="Arial" w:cs="Arial"/>
                <w:i/>
                <w:iCs/>
                <w:color w:val="000000"/>
                <w:shd w:val="clear" w:color="auto" w:fill="FFFFFF"/>
              </w:rPr>
              <w:t>hướng dẫn thực hiện nghĩa vụ thuế áp dụng đối với tổ chức, cá nhân nước ngoài kinh doanh tại Việt Nam hoặc có thu nhập phát sinh tại Việt Nam</w:t>
            </w:r>
            <w:r w:rsidRPr="0021657E">
              <w:rPr>
                <w:rStyle w:val="apple-converted-space"/>
                <w:rFonts w:ascii="Arial" w:hAnsi="Arial" w:cs="Arial"/>
                <w:i/>
                <w:iCs/>
                <w:color w:val="000000"/>
                <w:shd w:val="clear" w:color="auto" w:fill="FFFFFF"/>
              </w:rPr>
              <w:t>.</w:t>
            </w:r>
            <w:r w:rsidRPr="0021657E">
              <w:rPr>
                <w:rFonts w:ascii="Arial" w:hAnsi="Arial" w:cs="Arial"/>
              </w:rPr>
              <w:t xml:space="preserve"> </w:t>
            </w:r>
          </w:p>
        </w:tc>
      </w:tr>
    </w:tbl>
    <w:p w:rsidR="00FF4476" w:rsidRDefault="00FF4476"/>
    <w:p w:rsidR="00575D85" w:rsidRPr="00FF4476" w:rsidRDefault="00FF4476" w:rsidP="00FF4476">
      <w:pPr>
        <w:tabs>
          <w:tab w:val="left" w:pos="1663"/>
        </w:tabs>
      </w:pPr>
      <w:bookmarkStart w:id="0" w:name="_GoBack"/>
      <w:bookmarkEnd w:id="0"/>
      <w:r>
        <w:tab/>
      </w:r>
    </w:p>
    <w:sectPr w:rsidR="00575D85" w:rsidRPr="00FF4476" w:rsidSect="0070176B">
      <w:headerReference w:type="even" r:id="rId12"/>
      <w:headerReference w:type="default" r:id="rId13"/>
      <w:footerReference w:type="default" r:id="rId14"/>
      <w:headerReference w:type="first" r:id="rId15"/>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61" w:rsidRDefault="00181861" w:rsidP="0070176B">
      <w:pPr>
        <w:spacing w:after="0" w:line="240" w:lineRule="auto"/>
      </w:pPr>
      <w:r>
        <w:separator/>
      </w:r>
    </w:p>
  </w:endnote>
  <w:endnote w:type="continuationSeparator" w:id="0">
    <w:p w:rsidR="00181861" w:rsidRDefault="00181861"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Pr="00120C48" w:rsidRDefault="003076FB"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61" w:rsidRDefault="00181861" w:rsidP="0070176B">
      <w:pPr>
        <w:spacing w:after="0" w:line="240" w:lineRule="auto"/>
      </w:pPr>
      <w:r>
        <w:separator/>
      </w:r>
    </w:p>
  </w:footnote>
  <w:footnote w:type="continuationSeparator" w:id="0">
    <w:p w:rsidR="00181861" w:rsidRDefault="00181861" w:rsidP="007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p w:rsidR="003076FB" w:rsidRDefault="003076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rsidP="0070176B">
    <w:pPr>
      <w:pStyle w:val="Header"/>
      <w:rPr>
        <w:rFonts w:ascii="Arial Black" w:hAnsi="Arial Black"/>
        <w:b/>
        <w:i/>
        <w:color w:val="FF0000"/>
      </w:rPr>
    </w:pPr>
  </w:p>
  <w:p w:rsidR="003076FB" w:rsidRDefault="003076FB" w:rsidP="0070176B">
    <w:pPr>
      <w:pStyle w:val="Header"/>
      <w:rPr>
        <w:rFonts w:ascii="Arial Black" w:hAnsi="Arial Black"/>
        <w:b/>
        <w:i/>
        <w:color w:val="FF0000"/>
      </w:rPr>
    </w:pPr>
  </w:p>
  <w:p w:rsidR="003076FB" w:rsidRDefault="003076FB" w:rsidP="0070176B">
    <w:pPr>
      <w:pStyle w:val="Header"/>
      <w:rPr>
        <w:rFonts w:ascii="Arial Black" w:hAnsi="Arial Black"/>
        <w:b/>
        <w:i/>
        <w:color w:val="FF0000"/>
      </w:rPr>
    </w:pPr>
  </w:p>
  <w:p w:rsidR="003076FB" w:rsidRDefault="003076FB"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3076FB" w:rsidRPr="0070176B" w:rsidRDefault="003076FB" w:rsidP="007017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B"/>
    <w:rsid w:val="00050083"/>
    <w:rsid w:val="00062AE1"/>
    <w:rsid w:val="00090FAD"/>
    <w:rsid w:val="000E6BA1"/>
    <w:rsid w:val="001037B8"/>
    <w:rsid w:val="00120C48"/>
    <w:rsid w:val="00174E39"/>
    <w:rsid w:val="00181861"/>
    <w:rsid w:val="001A34C5"/>
    <w:rsid w:val="002010F5"/>
    <w:rsid w:val="0021657E"/>
    <w:rsid w:val="00223E14"/>
    <w:rsid w:val="003076FB"/>
    <w:rsid w:val="0031208C"/>
    <w:rsid w:val="00313EC8"/>
    <w:rsid w:val="003A443F"/>
    <w:rsid w:val="00444B56"/>
    <w:rsid w:val="005517DB"/>
    <w:rsid w:val="00560E47"/>
    <w:rsid w:val="00575D85"/>
    <w:rsid w:val="005D4029"/>
    <w:rsid w:val="00627328"/>
    <w:rsid w:val="00686360"/>
    <w:rsid w:val="0070176B"/>
    <w:rsid w:val="00742074"/>
    <w:rsid w:val="00747601"/>
    <w:rsid w:val="00790092"/>
    <w:rsid w:val="007A56AC"/>
    <w:rsid w:val="007C1B52"/>
    <w:rsid w:val="008B32C5"/>
    <w:rsid w:val="008B46C9"/>
    <w:rsid w:val="008C46CE"/>
    <w:rsid w:val="00953FCF"/>
    <w:rsid w:val="00966446"/>
    <w:rsid w:val="00A05673"/>
    <w:rsid w:val="00A25DE6"/>
    <w:rsid w:val="00A833A2"/>
    <w:rsid w:val="00AB3568"/>
    <w:rsid w:val="00AD71CB"/>
    <w:rsid w:val="00B02175"/>
    <w:rsid w:val="00BA465D"/>
    <w:rsid w:val="00BE24E2"/>
    <w:rsid w:val="00C71D0F"/>
    <w:rsid w:val="00C84366"/>
    <w:rsid w:val="00CA6E2C"/>
    <w:rsid w:val="00CB270F"/>
    <w:rsid w:val="00CC5D61"/>
    <w:rsid w:val="00D05FE3"/>
    <w:rsid w:val="00D23832"/>
    <w:rsid w:val="00D9133C"/>
    <w:rsid w:val="00DD0459"/>
    <w:rsid w:val="00DE0F07"/>
    <w:rsid w:val="00E47484"/>
    <w:rsid w:val="00E832AE"/>
    <w:rsid w:val="00E83A2D"/>
    <w:rsid w:val="00E96369"/>
    <w:rsid w:val="00ED141F"/>
    <w:rsid w:val="00EE5C97"/>
    <w:rsid w:val="00F937A5"/>
    <w:rsid w:val="00FF4476"/>
    <w:rsid w:val="00FF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semiHidden/>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semiHidden/>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26288375">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80380209">
      <w:bodyDiv w:val="1"/>
      <w:marLeft w:val="0"/>
      <w:marRight w:val="0"/>
      <w:marTop w:val="0"/>
      <w:marBottom w:val="0"/>
      <w:divBdr>
        <w:top w:val="none" w:sz="0" w:space="0" w:color="auto"/>
        <w:left w:val="none" w:sz="0" w:space="0" w:color="auto"/>
        <w:bottom w:val="none" w:sz="0" w:space="0" w:color="auto"/>
        <w:right w:val="none" w:sz="0" w:space="0" w:color="auto"/>
      </w:divBdr>
    </w:div>
    <w:div w:id="293368437">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03142248">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569994621">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103/2014/TT-BTC&amp;area=2&amp;type=0&amp;match=False&amp;vc=True&amp;lan=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68475-D298-4288-9D5E-C8DF2410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2017-06-14T04:10:00Z</dcterms:created>
  <dcterms:modified xsi:type="dcterms:W3CDTF">2017-06-14T04:27:00Z</dcterms:modified>
</cp:coreProperties>
</file>